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BB42F" w14:textId="7FB1E066" w:rsidR="00DF15B5" w:rsidRPr="004960AE" w:rsidRDefault="00DF15B5" w:rsidP="005E337A">
      <w:bookmarkStart w:id="0" w:name="_GoBack"/>
      <w:bookmarkEnd w:id="0"/>
    </w:p>
    <w:p w14:paraId="1E0812E8" w14:textId="77777777" w:rsidR="00DF15B5" w:rsidRPr="004960AE" w:rsidRDefault="00DF15B5" w:rsidP="005E337A"/>
    <w:p w14:paraId="7EAC8167" w14:textId="77777777" w:rsidR="00DF15B5" w:rsidRPr="004960AE" w:rsidRDefault="00DF15B5" w:rsidP="005E337A"/>
    <w:p w14:paraId="3DCC340F" w14:textId="77777777" w:rsidR="00DF15B5" w:rsidRPr="004960AE" w:rsidRDefault="00DF15B5" w:rsidP="005E337A"/>
    <w:p w14:paraId="40FFF1AF" w14:textId="77777777" w:rsidR="00DF15B5" w:rsidRPr="004960AE" w:rsidRDefault="00DF15B5" w:rsidP="005E337A"/>
    <w:p w14:paraId="128EADD9" w14:textId="77777777" w:rsidR="00DF15B5" w:rsidRPr="004960AE" w:rsidRDefault="00DF15B5" w:rsidP="005E337A"/>
    <w:p w14:paraId="29FF879C" w14:textId="77777777" w:rsidR="00DF15B5" w:rsidRPr="004960AE" w:rsidRDefault="00DF15B5" w:rsidP="005E337A"/>
    <w:p w14:paraId="2C381D8E" w14:textId="77777777" w:rsidR="00DF15B5" w:rsidRPr="004960AE" w:rsidRDefault="00DF15B5" w:rsidP="005E337A"/>
    <w:p w14:paraId="32999B9A" w14:textId="77777777" w:rsidR="00DF15B5" w:rsidRPr="004960AE" w:rsidRDefault="00DF15B5" w:rsidP="005E337A"/>
    <w:p w14:paraId="55203F83" w14:textId="77777777" w:rsidR="005D2378" w:rsidRPr="004960AE" w:rsidRDefault="005D2378" w:rsidP="005E337A">
      <w:pPr>
        <w:pStyle w:val="Titel"/>
      </w:pPr>
    </w:p>
    <w:p w14:paraId="6DA477C5" w14:textId="77777777" w:rsidR="005D2378" w:rsidRPr="004960AE" w:rsidRDefault="005D2378" w:rsidP="005E337A">
      <w:pPr>
        <w:pStyle w:val="Titel"/>
      </w:pPr>
    </w:p>
    <w:p w14:paraId="11869404" w14:textId="77777777" w:rsidR="002317A1" w:rsidRPr="004960AE" w:rsidRDefault="002317A1" w:rsidP="005E337A">
      <w:pPr>
        <w:pStyle w:val="Titel"/>
      </w:pPr>
    </w:p>
    <w:p w14:paraId="633D30C8" w14:textId="77777777" w:rsidR="0057642C" w:rsidRPr="004960AE" w:rsidRDefault="0057642C" w:rsidP="005E337A">
      <w:pPr>
        <w:pStyle w:val="Titel"/>
      </w:pPr>
    </w:p>
    <w:p w14:paraId="4000C985" w14:textId="77777777" w:rsidR="0057642C" w:rsidRPr="004960AE" w:rsidRDefault="0057642C" w:rsidP="005E337A">
      <w:pPr>
        <w:pStyle w:val="Titel"/>
      </w:pPr>
    </w:p>
    <w:p w14:paraId="1EE23263" w14:textId="77777777" w:rsidR="0057642C" w:rsidRPr="004960AE" w:rsidRDefault="0057642C" w:rsidP="005E337A">
      <w:pPr>
        <w:pStyle w:val="Titel"/>
      </w:pPr>
    </w:p>
    <w:p w14:paraId="1A841EDC" w14:textId="77777777" w:rsidR="0057642C" w:rsidRPr="004960AE" w:rsidRDefault="0057642C" w:rsidP="005E337A">
      <w:pPr>
        <w:pStyle w:val="Titel"/>
      </w:pPr>
    </w:p>
    <w:p w14:paraId="003604E3" w14:textId="77777777" w:rsidR="0057642C" w:rsidRPr="004960AE" w:rsidRDefault="0057642C" w:rsidP="005E337A">
      <w:pPr>
        <w:pStyle w:val="Titel"/>
      </w:pPr>
    </w:p>
    <w:p w14:paraId="6F88A70D" w14:textId="77777777" w:rsidR="0057642C" w:rsidRPr="004960AE" w:rsidRDefault="0057642C" w:rsidP="005E337A">
      <w:pPr>
        <w:pStyle w:val="Titel"/>
      </w:pPr>
    </w:p>
    <w:p w14:paraId="360F1F9F" w14:textId="77777777" w:rsidR="0057642C" w:rsidRPr="00237B2B" w:rsidRDefault="0057642C" w:rsidP="005E337A">
      <w:pPr>
        <w:pStyle w:val="Titel"/>
        <w:rPr>
          <w:color w:val="auto"/>
        </w:rPr>
      </w:pPr>
    </w:p>
    <w:p w14:paraId="2EC34D25" w14:textId="7C26C9F0" w:rsidR="00277D7C" w:rsidRPr="00237B2B" w:rsidRDefault="00237B2B" w:rsidP="00237B2B">
      <w:pPr>
        <w:pStyle w:val="Titel"/>
        <w:ind w:firstLine="0"/>
        <w:jc w:val="center"/>
        <w:rPr>
          <w:color w:val="auto"/>
        </w:rPr>
      </w:pPr>
      <w:r w:rsidRPr="00237B2B">
        <w:rPr>
          <w:color w:val="auto"/>
        </w:rPr>
        <w:t>AQUARIUS initial Data Management Plan template for TA Call applications</w:t>
      </w:r>
    </w:p>
    <w:p w14:paraId="3F0254FB" w14:textId="7C30EDFC" w:rsidR="00F21AC2" w:rsidRPr="00237B2B" w:rsidRDefault="00F21AC2" w:rsidP="00997C0C">
      <w:pPr>
        <w:pStyle w:val="Untertitel"/>
        <w:ind w:firstLine="0"/>
        <w:rPr>
          <w:color w:val="auto"/>
        </w:rPr>
      </w:pPr>
    </w:p>
    <w:p w14:paraId="5B58E81A" w14:textId="7CCD1F2F" w:rsidR="00DF15B5" w:rsidRPr="004960AE" w:rsidRDefault="00DF15B5" w:rsidP="005E337A"/>
    <w:p w14:paraId="643243EF" w14:textId="5A184E13" w:rsidR="00DF15B5" w:rsidRPr="00997C0C" w:rsidRDefault="00237B2B" w:rsidP="00997C0C">
      <w:pPr>
        <w:rPr>
          <w:color w:val="auto"/>
        </w:rPr>
      </w:pPr>
      <w:r>
        <w:rPr>
          <w:color w:val="auto"/>
        </w:rPr>
        <w:t>September 2024</w:t>
      </w:r>
    </w:p>
    <w:p w14:paraId="7C5A9DA7" w14:textId="77777777" w:rsidR="00DF15B5" w:rsidRPr="004960AE" w:rsidRDefault="00DF15B5" w:rsidP="005E337A"/>
    <w:p w14:paraId="4AC25ACF" w14:textId="77777777" w:rsidR="00DF15B5" w:rsidRPr="004960AE" w:rsidRDefault="00DF15B5" w:rsidP="005E337A"/>
    <w:p w14:paraId="45A7DA20" w14:textId="77777777" w:rsidR="00892F9A" w:rsidRPr="004960AE" w:rsidRDefault="00892F9A" w:rsidP="005E337A">
      <w:pPr>
        <w:sectPr w:rsidR="00892F9A" w:rsidRPr="004960AE" w:rsidSect="005B0A71">
          <w:headerReference w:type="default" r:id="rId8"/>
          <w:footerReference w:type="default" r:id="rId9"/>
          <w:headerReference w:type="first" r:id="rId10"/>
          <w:footerReference w:type="first" r:id="rId11"/>
          <w:pgSz w:w="11906" w:h="16838" w:code="9"/>
          <w:pgMar w:top="1440" w:right="1440" w:bottom="1440" w:left="1440" w:header="737" w:footer="720" w:gutter="0"/>
          <w:cols w:space="720"/>
          <w:titlePg/>
          <w:docGrid w:linePitch="360"/>
        </w:sectPr>
      </w:pPr>
    </w:p>
    <w:p w14:paraId="742E07DB" w14:textId="06E683C4" w:rsidR="00382DB6" w:rsidRPr="004960AE" w:rsidRDefault="00382DB6" w:rsidP="005E337A"/>
    <w:p w14:paraId="67F5C49A" w14:textId="77777777" w:rsidR="004331B7" w:rsidRPr="004960AE" w:rsidRDefault="004331B7" w:rsidP="005E337A"/>
    <w:p w14:paraId="44E16D75" w14:textId="15BA9083" w:rsidR="002C336F" w:rsidRPr="00BB74D4" w:rsidRDefault="00BB74D4" w:rsidP="00BB74D4">
      <w:pPr>
        <w:rPr>
          <w:b/>
          <w:bCs/>
          <w:color w:val="56A4CC" w:themeColor="accent2"/>
          <w:sz w:val="32"/>
          <w:szCs w:val="32"/>
        </w:rPr>
      </w:pPr>
      <w:bookmarkStart w:id="1" w:name="_Toc125542320"/>
      <w:bookmarkStart w:id="2" w:name="_Toc125543809"/>
      <w:bookmarkStart w:id="3" w:name="_Toc161302641"/>
      <w:r w:rsidRPr="00BB74D4">
        <w:rPr>
          <w:b/>
          <w:bCs/>
          <w:color w:val="56A4CC" w:themeColor="accent2"/>
          <w:sz w:val="32"/>
          <w:szCs w:val="32"/>
        </w:rPr>
        <w:t xml:space="preserve">AQUARIUS initial Data Management Plan template for TA Call applications </w:t>
      </w:r>
      <w:bookmarkEnd w:id="1"/>
      <w:bookmarkEnd w:id="2"/>
      <w:bookmarkEnd w:id="3"/>
    </w:p>
    <w:p w14:paraId="40549DD7" w14:textId="77777777" w:rsidR="00BB74D4" w:rsidRDefault="00BB74D4" w:rsidP="00237B2B"/>
    <w:p w14:paraId="1708244C" w14:textId="4C64566E" w:rsidR="00237B2B" w:rsidRDefault="00237B2B" w:rsidP="00237B2B">
      <w:r>
        <w:t xml:space="preserve">As part of the Transnational Access (TA) projects in AQUARIUS, many new data sets in a large variety of data types will be collected by the TA scientific teams, making use and combining multiple and different observation installations as provided. There will be a strong effort in AQUARIUS to get the maximum return of investment from the TA activities towards serving the EU Mission and AQUARIUS Partnership targets and associated initiatives and projects with new data, data products, and scientific knowledge. Therefore, AQUARIUS has adopted an </w:t>
      </w:r>
      <w:r>
        <w:rPr>
          <w:b/>
        </w:rPr>
        <w:t>open data policy</w:t>
      </w:r>
      <w:r>
        <w:t xml:space="preserve">, which will be implemented with a </w:t>
      </w:r>
      <w:r>
        <w:rPr>
          <w:b/>
        </w:rPr>
        <w:t>dedicated Data Management approach</w:t>
      </w:r>
      <w:r>
        <w:t xml:space="preserve">, to ensure that all gathered and generated metadata and data will be managed in line with the FAIR principles (Findable, Accessible, Interoperable, Reusable). The metadata and data should become part of the archives managed and operated by leading European data management infrastructures for quality assurance, long term stewardship, and wide access and use. </w:t>
      </w:r>
    </w:p>
    <w:p w14:paraId="2E65422A" w14:textId="77777777" w:rsidR="00237B2B" w:rsidRDefault="00237B2B" w:rsidP="00237B2B">
      <w:pPr>
        <w:rPr>
          <w:color w:val="000000"/>
        </w:rPr>
      </w:pPr>
    </w:p>
    <w:p w14:paraId="5C6E6445" w14:textId="77777777" w:rsidR="00D75907" w:rsidRDefault="00237B2B" w:rsidP="00237B2B">
      <w:pPr>
        <w:rPr>
          <w:b/>
          <w:bCs/>
        </w:rPr>
      </w:pPr>
      <w:r w:rsidRPr="0083378F">
        <w:rPr>
          <w:b/>
          <w:bCs/>
        </w:rPr>
        <w:t xml:space="preserve">TA scientific teams are advised to take note of the AQUARIUS Data Management approach </w:t>
      </w:r>
      <w:r>
        <w:rPr>
          <w:b/>
          <w:bCs/>
        </w:rPr>
        <w:t xml:space="preserve">document and guideline </w:t>
      </w:r>
      <w:r w:rsidRPr="0083378F">
        <w:rPr>
          <w:b/>
          <w:bCs/>
        </w:rPr>
        <w:t xml:space="preserve">which can be found at: </w:t>
      </w:r>
    </w:p>
    <w:p w14:paraId="7DA814D4" w14:textId="239708EA" w:rsidR="00237B2B" w:rsidRPr="0083378F" w:rsidRDefault="00421D8E" w:rsidP="00237B2B">
      <w:pPr>
        <w:rPr>
          <w:b/>
          <w:bCs/>
        </w:rPr>
      </w:pPr>
      <w:hyperlink r:id="rId12" w:history="1">
        <w:r w:rsidR="00E22A9F" w:rsidRPr="00A505C4">
          <w:rPr>
            <w:rStyle w:val="Hyperlink"/>
            <w:b/>
            <w:bCs/>
          </w:rPr>
          <w:t>https://zenodo.org/records/13642869</w:t>
        </w:r>
      </w:hyperlink>
    </w:p>
    <w:p w14:paraId="34340579" w14:textId="77777777" w:rsidR="00237B2B" w:rsidRPr="0083378F" w:rsidRDefault="00237B2B" w:rsidP="00237B2B">
      <w:pPr>
        <w:rPr>
          <w:b/>
          <w:bCs/>
        </w:rPr>
      </w:pPr>
    </w:p>
    <w:p w14:paraId="4AC2C18E" w14:textId="77777777" w:rsidR="00237B2B" w:rsidRDefault="00237B2B" w:rsidP="00237B2B">
      <w:r>
        <w:t>The AQUARIUS data management flow scheme includes a number of steps from planning to training to deployment to publishing, and a number of instruments, which should be applied in those steps by the TA scientific teams.</w:t>
      </w:r>
    </w:p>
    <w:p w14:paraId="2C88532E" w14:textId="77777777" w:rsidR="00237B2B" w:rsidRDefault="00237B2B" w:rsidP="00237B2B"/>
    <w:p w14:paraId="04EBE973" w14:textId="77777777" w:rsidR="00237B2B" w:rsidRDefault="00237B2B" w:rsidP="00237B2B">
      <w:pPr>
        <w:ind w:left="-5" w:right="26"/>
      </w:pPr>
      <w:r>
        <w:t xml:space="preserve">An initial step is that TA Call applicants are requested to complete an </w:t>
      </w:r>
      <w:r w:rsidRPr="00B02377">
        <w:rPr>
          <w:b/>
          <w:bCs/>
        </w:rPr>
        <w:t>initial Data Management Plan</w:t>
      </w:r>
      <w:r>
        <w:t xml:space="preserve"> for their proposed project, following the </w:t>
      </w:r>
      <w:r>
        <w:rPr>
          <w:b/>
        </w:rPr>
        <w:t>AQUARIUS DMP template phase 1</w:t>
      </w:r>
      <w:r>
        <w:t>, and to submit this as part of their TA Call application</w:t>
      </w:r>
    </w:p>
    <w:p w14:paraId="69679D2B" w14:textId="77777777" w:rsidR="00237B2B" w:rsidRDefault="00237B2B" w:rsidP="00237B2B">
      <w:pPr>
        <w:ind w:left="-5" w:right="26"/>
      </w:pPr>
    </w:p>
    <w:p w14:paraId="470563E5" w14:textId="77777777" w:rsidR="00237B2B" w:rsidRDefault="00237B2B" w:rsidP="00237B2B">
      <w:pPr>
        <w:ind w:left="-5" w:right="26"/>
      </w:pPr>
      <w:r>
        <w:t xml:space="preserve">Once the TA proposal has been awarded, the TA project team will be requested to review and refine the DMP once the TA team has a better understanding of the TA project that will be deployed and the AQUARIUS data management approach. AQUARIUS expert data centres can assist with the Call process and respond to questions about the AQUARIUS data management approach, for as far as answers cannot be found in the </w:t>
      </w:r>
      <w:r w:rsidRPr="00B3253A">
        <w:t>AQUARIUS Data Management approach document.</w:t>
      </w:r>
      <w:r>
        <w:t xml:space="preserve"> In the phase after the TA project awarding there will be a kick-off meeting for selected TA projects with the AQUARIUS expert data centres to give support for completing and refining the TA project DMP template. </w:t>
      </w:r>
    </w:p>
    <w:p w14:paraId="34D629E6" w14:textId="77777777" w:rsidR="00237B2B" w:rsidRDefault="00237B2B" w:rsidP="00237B2B">
      <w:pPr>
        <w:ind w:left="-5" w:right="26"/>
      </w:pPr>
    </w:p>
    <w:p w14:paraId="17123100" w14:textId="77777777" w:rsidR="00237B2B" w:rsidRDefault="00237B2B" w:rsidP="00237B2B">
      <w:pPr>
        <w:ind w:left="-5" w:right="26"/>
      </w:pPr>
      <w:r>
        <w:t xml:space="preserve">The questions in the DMP template are derived from the Horizon Europe DMP template and adapted for use as part of the AQUARIUS data management approach. </w:t>
      </w:r>
    </w:p>
    <w:p w14:paraId="2FEE9BAD" w14:textId="77777777" w:rsidR="00237B2B" w:rsidRDefault="00237B2B" w:rsidP="00237B2B">
      <w:bookmarkStart w:id="4" w:name="_Toc175759637"/>
    </w:p>
    <w:p w14:paraId="4D5621E3" w14:textId="77777777" w:rsidR="00BB74D4" w:rsidRDefault="00BB74D4">
      <w:pPr>
        <w:spacing w:after="160" w:line="259" w:lineRule="auto"/>
        <w:jc w:val="left"/>
        <w:rPr>
          <w:b/>
          <w:bCs/>
          <w:sz w:val="24"/>
          <w:szCs w:val="24"/>
          <w:u w:val="single"/>
        </w:rPr>
      </w:pPr>
      <w:r>
        <w:rPr>
          <w:b/>
          <w:bCs/>
          <w:sz w:val="24"/>
          <w:szCs w:val="24"/>
          <w:u w:val="single"/>
        </w:rPr>
        <w:br w:type="page"/>
      </w:r>
    </w:p>
    <w:p w14:paraId="6FD70B0B" w14:textId="5BDD215F" w:rsidR="00237B2B" w:rsidRPr="00B02377" w:rsidRDefault="00237B2B" w:rsidP="00237B2B">
      <w:pPr>
        <w:jc w:val="center"/>
        <w:rPr>
          <w:b/>
          <w:bCs/>
          <w:sz w:val="24"/>
          <w:szCs w:val="24"/>
          <w:u w:val="single"/>
        </w:rPr>
      </w:pPr>
      <w:r w:rsidRPr="00B02377">
        <w:rPr>
          <w:b/>
          <w:bCs/>
          <w:sz w:val="24"/>
          <w:szCs w:val="24"/>
          <w:u w:val="single"/>
        </w:rPr>
        <w:lastRenderedPageBreak/>
        <w:t xml:space="preserve">AQUARIUS initial Data Management Template - </w:t>
      </w:r>
      <w:bookmarkEnd w:id="4"/>
      <w:r w:rsidRPr="00B02377">
        <w:rPr>
          <w:b/>
          <w:bCs/>
          <w:sz w:val="24"/>
          <w:szCs w:val="24"/>
          <w:u w:val="single"/>
        </w:rPr>
        <w:t>to be completed and submitted as part of the TA Call application</w:t>
      </w:r>
    </w:p>
    <w:p w14:paraId="27CFA4FA" w14:textId="77777777" w:rsidR="00237B2B" w:rsidRDefault="00237B2B" w:rsidP="00237B2B">
      <w:pPr>
        <w:rPr>
          <w:b/>
        </w:rPr>
      </w:pPr>
    </w:p>
    <w:p w14:paraId="63F8C796" w14:textId="77777777" w:rsidR="00237B2B" w:rsidRDefault="00237B2B" w:rsidP="00BB74D4">
      <w:pPr>
        <w:ind w:right="-154"/>
      </w:pPr>
      <w:r>
        <w:rPr>
          <w:b/>
        </w:rPr>
        <w:t>1. Data Summary</w:t>
      </w:r>
    </w:p>
    <w:p w14:paraId="5A0DAB3E" w14:textId="77777777" w:rsidR="00237B2B" w:rsidRDefault="00237B2B" w:rsidP="00BB74D4">
      <w:pPr>
        <w:ind w:left="-5" w:right="-154"/>
      </w:pPr>
      <w:r>
        <w:t>What is the purpose of the data collection/generation and its relation to the objectives of the project?</w:t>
      </w:r>
    </w:p>
    <w:p w14:paraId="596F5CFD" w14:textId="77777777" w:rsidR="00237B2B" w:rsidRDefault="00237B2B" w:rsidP="00BB74D4">
      <w:pPr>
        <w:ind w:left="-5" w:right="-154"/>
      </w:pPr>
    </w:p>
    <w:p w14:paraId="204F2C3B" w14:textId="77777777" w:rsidR="00237B2B" w:rsidRDefault="00237B2B" w:rsidP="00BB74D4">
      <w:pPr>
        <w:ind w:left="-5" w:right="-154"/>
      </w:pPr>
      <w:r>
        <w:t>What types and formats of data will the project generate/collect?</w:t>
      </w:r>
    </w:p>
    <w:p w14:paraId="18609081" w14:textId="77777777" w:rsidR="00237B2B" w:rsidRDefault="00237B2B" w:rsidP="00BB74D4">
      <w:pPr>
        <w:ind w:left="-5" w:right="-154"/>
      </w:pPr>
    </w:p>
    <w:p w14:paraId="4B9459C3" w14:textId="77777777" w:rsidR="00237B2B" w:rsidRDefault="00237B2B" w:rsidP="00BB74D4">
      <w:pPr>
        <w:ind w:left="-5" w:right="-154"/>
      </w:pPr>
      <w:r>
        <w:t>How is the original data gathered on the TA installation(s) and how do you plan to transfer it to you?</w:t>
      </w:r>
    </w:p>
    <w:p w14:paraId="154470D3" w14:textId="77777777" w:rsidR="00237B2B" w:rsidRDefault="00237B2B" w:rsidP="00BB74D4">
      <w:pPr>
        <w:ind w:left="-5" w:right="-154"/>
      </w:pPr>
    </w:p>
    <w:p w14:paraId="7DA9001A" w14:textId="77777777" w:rsidR="00237B2B" w:rsidRDefault="00237B2B" w:rsidP="00BB74D4">
      <w:pPr>
        <w:ind w:left="-5" w:right="-154"/>
      </w:pPr>
      <w:r>
        <w:t>What processing on the raw data do you plan? Please differentiate between data quality assurance (handling of outliers, missing and suspect values, null observations) and data harmonisation (code, label and QC flag explanations, consistent use of headers and units, data formatting, conforming to standards).</w:t>
      </w:r>
    </w:p>
    <w:p w14:paraId="5775E127" w14:textId="77777777" w:rsidR="00237B2B" w:rsidRDefault="00237B2B" w:rsidP="00BB74D4">
      <w:pPr>
        <w:ind w:left="-5" w:right="-154"/>
      </w:pPr>
    </w:p>
    <w:p w14:paraId="604B6ACF" w14:textId="77777777" w:rsidR="00237B2B" w:rsidRDefault="00237B2B" w:rsidP="00BB74D4">
      <w:pPr>
        <w:spacing w:after="224"/>
        <w:ind w:left="-5" w:right="-154"/>
      </w:pPr>
      <w:r>
        <w:t>When do you plan to perform these processing steps by means of a concise planning?</w:t>
      </w:r>
    </w:p>
    <w:p w14:paraId="484D78A4" w14:textId="77777777" w:rsidR="00237B2B" w:rsidRDefault="00237B2B" w:rsidP="00BB74D4">
      <w:pPr>
        <w:spacing w:line="430" w:lineRule="auto"/>
        <w:ind w:left="-5" w:right="-154"/>
      </w:pPr>
      <w:r>
        <w:rPr>
          <w:b/>
        </w:rPr>
        <w:t>2. Making data FAIR</w:t>
      </w:r>
    </w:p>
    <w:p w14:paraId="5F1A0591" w14:textId="77777777" w:rsidR="00237B2B" w:rsidRDefault="00237B2B" w:rsidP="00BB74D4">
      <w:pPr>
        <w:ind w:right="-154"/>
        <w:rPr>
          <w:b/>
        </w:rPr>
      </w:pPr>
    </w:p>
    <w:p w14:paraId="04546B4A" w14:textId="77777777" w:rsidR="00237B2B" w:rsidRDefault="00237B2B" w:rsidP="00BB74D4">
      <w:pPr>
        <w:ind w:right="-154"/>
        <w:rPr>
          <w:b/>
        </w:rPr>
      </w:pPr>
      <w:r>
        <w:rPr>
          <w:b/>
        </w:rPr>
        <w:t>2.1 Making data findable, including provisions for metadata</w:t>
      </w:r>
    </w:p>
    <w:p w14:paraId="35A4A0AB" w14:textId="77777777" w:rsidR="00237B2B" w:rsidRDefault="00237B2B" w:rsidP="00BB74D4">
      <w:pPr>
        <w:ind w:right="-154"/>
        <w:rPr>
          <w:b/>
        </w:rPr>
      </w:pPr>
    </w:p>
    <w:p w14:paraId="07B48F19" w14:textId="77777777" w:rsidR="00237B2B" w:rsidRDefault="00237B2B" w:rsidP="00BB74D4">
      <w:pPr>
        <w:spacing w:after="228"/>
        <w:ind w:left="-5" w:right="-154"/>
      </w:pPr>
      <w:r>
        <w:t xml:space="preserve">The </w:t>
      </w:r>
      <w:r>
        <w:rPr>
          <w:b/>
        </w:rPr>
        <w:t>AQUARIUS Data Management approach</w:t>
      </w:r>
      <w:r>
        <w:rPr>
          <w:i/>
        </w:rPr>
        <w:t xml:space="preserve"> </w:t>
      </w:r>
      <w:r>
        <w:t xml:space="preserve">is aimed at inclusion of your collected/generated data in leading European aquatic data management infrastructures such as </w:t>
      </w:r>
      <w:proofErr w:type="spellStart"/>
      <w:r>
        <w:rPr>
          <w:b/>
        </w:rPr>
        <w:t>SeaDataNet</w:t>
      </w:r>
      <w:proofErr w:type="spellEnd"/>
      <w:r>
        <w:rPr>
          <w:b/>
          <w:vertAlign w:val="superscript"/>
        </w:rPr>
        <w:footnoteReference w:id="1"/>
      </w:r>
      <w:r>
        <w:t xml:space="preserve"> (physics, chemistry, geophysics, geology, and biology), </w:t>
      </w:r>
      <w:proofErr w:type="spellStart"/>
      <w:r>
        <w:rPr>
          <w:b/>
        </w:rPr>
        <w:t>EurOBIS</w:t>
      </w:r>
      <w:proofErr w:type="spellEnd"/>
      <w:r>
        <w:rPr>
          <w:vertAlign w:val="superscript"/>
        </w:rPr>
        <w:footnoteReference w:id="2"/>
      </w:r>
      <w:r>
        <w:t xml:space="preserve"> (marine biodiversity), </w:t>
      </w:r>
      <w:r>
        <w:rPr>
          <w:b/>
        </w:rPr>
        <w:t>ELIXIR-ENA</w:t>
      </w:r>
      <w:r>
        <w:rPr>
          <w:b/>
          <w:vertAlign w:val="superscript"/>
        </w:rPr>
        <w:footnoteReference w:id="3"/>
      </w:r>
      <w:r>
        <w:t xml:space="preserve"> (</w:t>
      </w:r>
      <w:proofErr w:type="spellStart"/>
      <w:r>
        <w:t>biogenomics</w:t>
      </w:r>
      <w:proofErr w:type="spellEnd"/>
      <w:r>
        <w:t xml:space="preserve">), </w:t>
      </w:r>
      <w:r>
        <w:rPr>
          <w:b/>
        </w:rPr>
        <w:t>ICOS-Ocean</w:t>
      </w:r>
      <w:r>
        <w:rPr>
          <w:b/>
          <w:vertAlign w:val="superscript"/>
        </w:rPr>
        <w:footnoteReference w:id="4"/>
      </w:r>
      <w:r>
        <w:t xml:space="preserve"> (carbon), and </w:t>
      </w:r>
      <w:r w:rsidRPr="00BD3830">
        <w:rPr>
          <w:b/>
          <w:bCs/>
        </w:rPr>
        <w:t>Copernicus INSTAC</w:t>
      </w:r>
      <w:r>
        <w:rPr>
          <w:b/>
          <w:color w:val="000000"/>
          <w:vertAlign w:val="superscript"/>
        </w:rPr>
        <w:footnoteReference w:id="5"/>
      </w:r>
      <w:r>
        <w:rPr>
          <w:color w:val="000000"/>
        </w:rPr>
        <w:t xml:space="preserve"> </w:t>
      </w:r>
      <w:r w:rsidRPr="00BD3830">
        <w:t>(Near- Real-Time data)</w:t>
      </w:r>
      <w:r>
        <w:t xml:space="preserve">. Inclusion will be mediated through expert data centres which are partners in the AQUARIUS project. They will give training and education to the TA teams about planned data management practices as part of AQUARIUS WP5. In addition, as part of AQUARIUS WP6, they will give support to the TA teams for the adoption of the preferred metadata and data standards, and ingestion of the resulting metadata and data in repositories that are nodes of the indicated European data management infrastructures. This way, the metadata and data from the TA projects will become FAIR and also available for </w:t>
      </w:r>
      <w:proofErr w:type="spellStart"/>
      <w:r>
        <w:t>EMODnet</w:t>
      </w:r>
      <w:proofErr w:type="spellEnd"/>
      <w:r>
        <w:t xml:space="preserve">, Copernicus Marine, DTO developments, EOSC, and global data exchanges such as GEOSS and the digital ocean ecosystem which is being developed in the framework of the UN-IOC-Ocean Decade programme. In the AQUARIUS Data Management approach, it is recommended to make use of the online </w:t>
      </w:r>
      <w:r>
        <w:rPr>
          <w:b/>
        </w:rPr>
        <w:t xml:space="preserve">Data Submission service of </w:t>
      </w:r>
      <w:proofErr w:type="spellStart"/>
      <w:r>
        <w:rPr>
          <w:b/>
        </w:rPr>
        <w:t>EMODnet</w:t>
      </w:r>
      <w:proofErr w:type="spellEnd"/>
      <w:r>
        <w:rPr>
          <w:b/>
        </w:rPr>
        <w:t xml:space="preserve"> Data Ingestion</w:t>
      </w:r>
      <w:r>
        <w:rPr>
          <w:b/>
          <w:vertAlign w:val="superscript"/>
        </w:rPr>
        <w:footnoteReference w:id="6"/>
      </w:r>
      <w:r>
        <w:t xml:space="preserve"> and/or </w:t>
      </w:r>
      <w:proofErr w:type="spellStart"/>
      <w:r>
        <w:rPr>
          <w:b/>
        </w:rPr>
        <w:t>SeaDataNet</w:t>
      </w:r>
      <w:proofErr w:type="spellEnd"/>
      <w:r>
        <w:rPr>
          <w:b/>
        </w:rPr>
        <w:t xml:space="preserve"> </w:t>
      </w:r>
      <w:proofErr w:type="spellStart"/>
      <w:r>
        <w:rPr>
          <w:b/>
        </w:rPr>
        <w:t>SeaNoe</w:t>
      </w:r>
      <w:proofErr w:type="spellEnd"/>
      <w:r>
        <w:rPr>
          <w:b/>
        </w:rPr>
        <w:t xml:space="preserve"> service</w:t>
      </w:r>
      <w:r>
        <w:rPr>
          <w:b/>
          <w:vertAlign w:val="superscript"/>
        </w:rPr>
        <w:footnoteReference w:id="7"/>
      </w:r>
      <w:r>
        <w:t xml:space="preserve"> for transfer of your metadata and data packages to the AQUARIUS expert data centres. </w:t>
      </w:r>
    </w:p>
    <w:p w14:paraId="34E276CB" w14:textId="18EA6F61" w:rsidR="00237B2B" w:rsidRDefault="00237B2B" w:rsidP="00BB74D4">
      <w:pPr>
        <w:spacing w:after="228"/>
        <w:ind w:left="-5" w:right="-154"/>
      </w:pPr>
      <w:r>
        <w:lastRenderedPageBreak/>
        <w:t xml:space="preserve">Paragraph 5.4 of the </w:t>
      </w:r>
      <w:r>
        <w:rPr>
          <w:b/>
        </w:rPr>
        <w:t>AQUARIUS Data Management approach</w:t>
      </w:r>
      <w:r>
        <w:rPr>
          <w:i/>
        </w:rPr>
        <w:t xml:space="preserve"> </w:t>
      </w:r>
      <w:r w:rsidRPr="00504A2D">
        <w:rPr>
          <w:iCs/>
        </w:rPr>
        <w:t>document</w:t>
      </w:r>
      <w:r>
        <w:rPr>
          <w:i/>
        </w:rPr>
        <w:t xml:space="preserve"> </w:t>
      </w:r>
      <w:r>
        <w:t xml:space="preserve">lists the </w:t>
      </w:r>
      <w:r w:rsidR="00BB74D4">
        <w:t>m</w:t>
      </w:r>
      <w:r>
        <w:t xml:space="preserve">inimum set of metadata that </w:t>
      </w:r>
      <w:proofErr w:type="spellStart"/>
      <w:r>
        <w:t>EMODnet</w:t>
      </w:r>
      <w:proofErr w:type="spellEnd"/>
      <w:r>
        <w:t xml:space="preserve"> Ingestion requests you to enter in order to document your data packages submission. In addition, Annex 1 of the document gives a list of items that should be documented during the TA data acquisition and processing activities as these are later needed, when transforming data to the standard metadata and data formats as required.  </w:t>
      </w:r>
    </w:p>
    <w:p w14:paraId="6EF412E0" w14:textId="77777777" w:rsidR="00237B2B" w:rsidRDefault="00237B2B" w:rsidP="00BB74D4">
      <w:pPr>
        <w:spacing w:after="228"/>
        <w:ind w:left="-5" w:right="-154"/>
      </w:pPr>
      <w:r>
        <w:t xml:space="preserve">Will you in principle be able to follow the </w:t>
      </w:r>
      <w:r>
        <w:rPr>
          <w:b/>
        </w:rPr>
        <w:t>AQUARIUS Data Management approach</w:t>
      </w:r>
      <w:r>
        <w:t xml:space="preserve"> for metadata? What possible challenges do you foresee?   </w:t>
      </w:r>
    </w:p>
    <w:p w14:paraId="24850001" w14:textId="77777777" w:rsidR="00237B2B" w:rsidRDefault="00237B2B" w:rsidP="00BB74D4">
      <w:pPr>
        <w:spacing w:after="228"/>
        <w:ind w:left="-5" w:right="-154"/>
      </w:pPr>
      <w:r>
        <w:t>How will you document all this information before submission, especially lineage information (i.e. processing and QC steps)?</w:t>
      </w:r>
    </w:p>
    <w:p w14:paraId="1D5DFE1B" w14:textId="77777777" w:rsidR="00237B2B" w:rsidRDefault="00237B2B" w:rsidP="00BB74D4">
      <w:pPr>
        <w:ind w:right="-154"/>
        <w:rPr>
          <w:b/>
        </w:rPr>
      </w:pPr>
      <w:r>
        <w:rPr>
          <w:b/>
        </w:rPr>
        <w:t>2.2. Making data openly accessible</w:t>
      </w:r>
    </w:p>
    <w:p w14:paraId="39EA202F" w14:textId="77777777" w:rsidR="00237B2B" w:rsidRDefault="00237B2B" w:rsidP="00BB74D4">
      <w:pPr>
        <w:ind w:right="-154"/>
      </w:pPr>
    </w:p>
    <w:p w14:paraId="65E184C3" w14:textId="77777777" w:rsidR="00237B2B" w:rsidRDefault="00237B2B" w:rsidP="00BB74D4">
      <w:pPr>
        <w:ind w:right="-154"/>
      </w:pPr>
      <w:r>
        <w:t>The AQUARIUS project follows an</w:t>
      </w:r>
      <w:r>
        <w:rPr>
          <w:b/>
        </w:rPr>
        <w:t xml:space="preserve"> open data access policy. </w:t>
      </w:r>
      <w:r>
        <w:t>Therefore, the</w:t>
      </w:r>
      <w:r>
        <w:rPr>
          <w:b/>
        </w:rPr>
        <w:t xml:space="preserve"> AQUARIUS Data Management approach</w:t>
      </w:r>
      <w:r>
        <w:t xml:space="preserve"> is aimed at inclusion and publishing of your collected/generated data as open metadata and data in trusted repositories, within the lifetime of the AQUARIUS project. However, temporary embargos (max 2 years after collection) are possible for specific data that require additional processing and to allow for scientific analyses that will lead to scientific papers. </w:t>
      </w:r>
    </w:p>
    <w:p w14:paraId="17AF16F1" w14:textId="77777777" w:rsidR="00237B2B" w:rsidRDefault="00237B2B" w:rsidP="00BB74D4">
      <w:pPr>
        <w:ind w:left="-5" w:right="-154"/>
      </w:pPr>
    </w:p>
    <w:p w14:paraId="330FD6D2" w14:textId="77777777" w:rsidR="00237B2B" w:rsidRDefault="00237B2B" w:rsidP="00BB74D4">
      <w:pPr>
        <w:ind w:left="-5" w:right="-154"/>
      </w:pPr>
      <w:r>
        <w:t xml:space="preserve">Will you collect/generate data that might require a temporary embargo? Indicate which type of data and motivate its temporary embargo for each case. </w:t>
      </w:r>
    </w:p>
    <w:p w14:paraId="01B103C5" w14:textId="77777777" w:rsidR="00237B2B" w:rsidRDefault="00237B2B" w:rsidP="00BB74D4">
      <w:pPr>
        <w:spacing w:after="228"/>
        <w:ind w:left="-5" w:right="-154"/>
      </w:pPr>
      <w:r>
        <w:br/>
        <w:t>Do you also plan to make the data and metadata available on another repository next to the AQUARIUS repositories, for instance an institutional, national or general data repository?</w:t>
      </w:r>
    </w:p>
    <w:p w14:paraId="7EEA48FF" w14:textId="77777777" w:rsidR="00237B2B" w:rsidRDefault="00237B2B" w:rsidP="00BB74D4">
      <w:pPr>
        <w:ind w:right="-154"/>
        <w:rPr>
          <w:b/>
        </w:rPr>
      </w:pPr>
      <w:r>
        <w:rPr>
          <w:b/>
        </w:rPr>
        <w:t>2.3. Making data interoperable</w:t>
      </w:r>
    </w:p>
    <w:p w14:paraId="7CFF53D3" w14:textId="77777777" w:rsidR="00237B2B" w:rsidRDefault="00237B2B" w:rsidP="00BB74D4">
      <w:pPr>
        <w:spacing w:after="120"/>
        <w:ind w:left="-5" w:right="-154"/>
      </w:pPr>
    </w:p>
    <w:p w14:paraId="6A3FB9DD" w14:textId="77777777" w:rsidR="00237B2B" w:rsidRDefault="00237B2B" w:rsidP="00BB74D4">
      <w:pPr>
        <w:spacing w:after="120"/>
        <w:ind w:left="-5" w:right="-154"/>
      </w:pPr>
      <w:r>
        <w:t>The</w:t>
      </w:r>
      <w:r>
        <w:rPr>
          <w:b/>
        </w:rPr>
        <w:t xml:space="preserve"> AQUARIUS Data Management approach</w:t>
      </w:r>
      <w:r>
        <w:t xml:space="preserve"> is aimed at making the collected/generated data interoperable by adopting common standards from leading European data management infrastructures. Use will be made of standard formats, QA-QC procedures, and controlled vocabularies for many metadata tags. For this process the TA teams will be given support by the AQUARIUS expert data centres, who also can help with use of common tools and services. To be able to do these transformations from original metadata and data to standardised metadata and data, it is important that relevant information about the data collection/generation is noted down during the actual events. </w:t>
      </w:r>
    </w:p>
    <w:p w14:paraId="29CA4900" w14:textId="77777777" w:rsidR="00237B2B" w:rsidRDefault="00237B2B" w:rsidP="00BB74D4">
      <w:pPr>
        <w:spacing w:after="120"/>
        <w:ind w:left="-5" w:right="-154"/>
      </w:pPr>
      <w:r>
        <w:t xml:space="preserve">This consists of the </w:t>
      </w:r>
      <w:r>
        <w:rPr>
          <w:b/>
        </w:rPr>
        <w:t>AQUARIUS TA Data Summary</w:t>
      </w:r>
      <w:r>
        <w:t xml:space="preserve"> </w:t>
      </w:r>
      <w:r>
        <w:rPr>
          <w:b/>
        </w:rPr>
        <w:t xml:space="preserve">Log </w:t>
      </w:r>
      <w:r>
        <w:t xml:space="preserve">which should be maintained by the PI of the TA project scientific team to keep an overview and index of the data collection events. It should be shared afterwards with the AQUARIUS data centre experts as it will provide an index to the collected/generated data and relevant documentation, such as who, when, where, how, etc. It contains only metadata and no data. For keeping this log, the PIs of the TA projects will receive a tablet from WP6 with a preloaded app, that will facilitate entering, browsing, and exporting information. The tablet should be returned to the WP6 team after finalisation of the TA acquisition activities. The </w:t>
      </w:r>
      <w:r>
        <w:rPr>
          <w:b/>
        </w:rPr>
        <w:t>AQUARIUS TA Data Summary</w:t>
      </w:r>
      <w:r>
        <w:t xml:space="preserve"> </w:t>
      </w:r>
      <w:r>
        <w:rPr>
          <w:b/>
        </w:rPr>
        <w:t xml:space="preserve">Log </w:t>
      </w:r>
      <w:r>
        <w:t xml:space="preserve">will serve as a list for the expert data centres to know what data to expect from where and who and as a checklist for the following steps in the data management workflow. </w:t>
      </w:r>
    </w:p>
    <w:p w14:paraId="505F4630" w14:textId="77777777" w:rsidR="00237B2B" w:rsidRPr="00BD3830" w:rsidRDefault="00237B2B" w:rsidP="00BB74D4">
      <w:pPr>
        <w:ind w:right="-154"/>
      </w:pPr>
      <w:r w:rsidRPr="00BD3830">
        <w:t xml:space="preserve">In addition to the TA Data Summary Log it is recommended that the researchers of the TA teams document several aspects of the data acquisition and following processing, so that the later transformation to the common standards of the European marine data management infrastructures will be easier. Annex 1 </w:t>
      </w:r>
      <w:r>
        <w:t xml:space="preserve">of the </w:t>
      </w:r>
      <w:r w:rsidRPr="00504A2D">
        <w:rPr>
          <w:bCs/>
        </w:rPr>
        <w:t>AQUARIUS Data Management approach</w:t>
      </w:r>
      <w:r>
        <w:t xml:space="preserve"> document </w:t>
      </w:r>
      <w:r w:rsidRPr="00BD3830">
        <w:t xml:space="preserve">gives a checklist which documentation TA researchers are recommended to maintain for this purpose. </w:t>
      </w:r>
    </w:p>
    <w:p w14:paraId="72147A53" w14:textId="77777777" w:rsidR="00237B2B" w:rsidRDefault="00237B2B" w:rsidP="00BB74D4">
      <w:pPr>
        <w:ind w:right="-154"/>
      </w:pPr>
      <w:r>
        <w:rPr>
          <w:color w:val="00000A"/>
        </w:rPr>
        <w:t xml:space="preserve"> </w:t>
      </w:r>
    </w:p>
    <w:p w14:paraId="16A5A8A8" w14:textId="77777777" w:rsidR="00237B2B" w:rsidRDefault="00237B2B" w:rsidP="00BB74D4">
      <w:pPr>
        <w:spacing w:after="228"/>
        <w:ind w:left="-5" w:right="-154"/>
      </w:pPr>
      <w:r>
        <w:lastRenderedPageBreak/>
        <w:t xml:space="preserve">Will you in principle be able to organise your TA team during the TA activities in order to gather the input required for the </w:t>
      </w:r>
      <w:r>
        <w:rPr>
          <w:b/>
        </w:rPr>
        <w:t>AQUARIUS TA Data Summary Log</w:t>
      </w:r>
      <w:r>
        <w:t xml:space="preserve">? What possible challenges do you foresee?   </w:t>
      </w:r>
    </w:p>
    <w:p w14:paraId="6C43FB16" w14:textId="77777777" w:rsidR="00237B2B" w:rsidRDefault="00237B2B" w:rsidP="00BB74D4">
      <w:pPr>
        <w:ind w:right="-154"/>
        <w:rPr>
          <w:b/>
        </w:rPr>
      </w:pPr>
      <w:r>
        <w:rPr>
          <w:b/>
        </w:rPr>
        <w:t>2.4. Increase data re-use (through clarifying licences)</w:t>
      </w:r>
    </w:p>
    <w:p w14:paraId="070474D4" w14:textId="77777777" w:rsidR="00237B2B" w:rsidRDefault="00237B2B" w:rsidP="00BB74D4">
      <w:pPr>
        <w:ind w:right="-154"/>
      </w:pPr>
    </w:p>
    <w:p w14:paraId="5102A9FA" w14:textId="77777777" w:rsidR="00237B2B" w:rsidRDefault="00237B2B" w:rsidP="00BB74D4">
      <w:pPr>
        <w:ind w:right="-154"/>
      </w:pPr>
      <w:r>
        <w:t>The AQUARIUS project follows an</w:t>
      </w:r>
      <w:r>
        <w:rPr>
          <w:b/>
        </w:rPr>
        <w:t xml:space="preserve"> open data access policy, </w:t>
      </w:r>
      <w:r>
        <w:t>and the</w:t>
      </w:r>
      <w:r>
        <w:rPr>
          <w:b/>
        </w:rPr>
        <w:t xml:space="preserve"> </w:t>
      </w:r>
      <w:r>
        <w:t xml:space="preserve">AQUARIUS Data Management approach is aimed at inclusion and publishing of your collected/generated data as open metadata and data in trusted repositories, within the lifetime of the AQUARIUS project. The preferred licence for use of AQUARIUS data is CC-BY-4.0. </w:t>
      </w:r>
    </w:p>
    <w:p w14:paraId="6E3FC82A" w14:textId="77777777" w:rsidR="00237B2B" w:rsidRDefault="00237B2B" w:rsidP="00BB74D4">
      <w:pPr>
        <w:ind w:right="-154"/>
      </w:pPr>
    </w:p>
    <w:p w14:paraId="1FEEE620" w14:textId="77777777" w:rsidR="00237B2B" w:rsidRDefault="00237B2B" w:rsidP="00BB74D4">
      <w:pPr>
        <w:ind w:right="-154"/>
      </w:pPr>
      <w:r>
        <w:t xml:space="preserve">Do you foresee any difficulty for your collected/generated data to follow this policy? </w:t>
      </w:r>
    </w:p>
    <w:p w14:paraId="2AFF1EA3" w14:textId="77777777" w:rsidR="00237B2B" w:rsidRDefault="00237B2B" w:rsidP="00BB74D4">
      <w:pPr>
        <w:ind w:right="-154"/>
        <w:rPr>
          <w:b/>
        </w:rPr>
      </w:pPr>
    </w:p>
    <w:p w14:paraId="184711DC" w14:textId="77777777" w:rsidR="00237B2B" w:rsidRDefault="00237B2B" w:rsidP="00BB74D4">
      <w:pPr>
        <w:ind w:right="-154"/>
        <w:rPr>
          <w:b/>
        </w:rPr>
      </w:pPr>
      <w:r>
        <w:rPr>
          <w:b/>
        </w:rPr>
        <w:t>3. Other research outputs</w:t>
      </w:r>
    </w:p>
    <w:p w14:paraId="7984D2B3" w14:textId="77777777" w:rsidR="00237B2B" w:rsidRDefault="00237B2B" w:rsidP="00BB74D4">
      <w:pPr>
        <w:widowControl w:val="0"/>
        <w:pBdr>
          <w:top w:val="nil"/>
          <w:left w:val="nil"/>
          <w:bottom w:val="nil"/>
          <w:right w:val="nil"/>
          <w:between w:val="nil"/>
        </w:pBdr>
        <w:spacing w:after="240"/>
        <w:ind w:right="-154"/>
        <w:rPr>
          <w:color w:val="000000"/>
        </w:rPr>
      </w:pPr>
      <w:r>
        <w:rPr>
          <w:color w:val="000000"/>
        </w:rPr>
        <w:br/>
      </w:r>
      <w:r w:rsidRPr="00406020">
        <w:t>Do you plan to generate other research outputs next to the collected/generated data such as digital (e.g. software, workflows, protocols, models, etc.) or physical (e.g. new materials, antibodies, reagents, samples, etc.) results?</w:t>
      </w:r>
    </w:p>
    <w:p w14:paraId="77941C8D" w14:textId="77777777" w:rsidR="00237B2B" w:rsidRDefault="00237B2B" w:rsidP="00BB74D4">
      <w:pPr>
        <w:spacing w:after="167" w:line="259" w:lineRule="auto"/>
        <w:ind w:left="-5" w:right="-154"/>
        <w:rPr>
          <w:b/>
        </w:rPr>
      </w:pPr>
      <w:r>
        <w:rPr>
          <w:b/>
        </w:rPr>
        <w:t>4. Allocation of resources</w:t>
      </w:r>
    </w:p>
    <w:p w14:paraId="0818536C" w14:textId="77777777" w:rsidR="00237B2B" w:rsidRDefault="00237B2B" w:rsidP="00BB74D4">
      <w:pPr>
        <w:widowControl w:val="0"/>
        <w:pBdr>
          <w:top w:val="nil"/>
          <w:left w:val="nil"/>
          <w:bottom w:val="nil"/>
          <w:right w:val="nil"/>
          <w:between w:val="nil"/>
        </w:pBdr>
        <w:spacing w:after="240"/>
        <w:ind w:right="-154"/>
        <w:rPr>
          <w:color w:val="000000"/>
        </w:rPr>
      </w:pPr>
      <w:r w:rsidRPr="00406020">
        <w:t>Terms &amp; Conditions of AQUARIUS Funding require TA teams to follow the AQUARIUS Data</w:t>
      </w:r>
      <w:r>
        <w:rPr>
          <w:color w:val="000000"/>
        </w:rPr>
        <w:t xml:space="preserve"> </w:t>
      </w:r>
      <w:r w:rsidRPr="00406020">
        <w:t>Management Approach. This includes efforts for:</w:t>
      </w:r>
    </w:p>
    <w:p w14:paraId="28451600" w14:textId="77777777" w:rsidR="00237B2B" w:rsidRPr="00406020" w:rsidRDefault="00237B2B" w:rsidP="00BB74D4">
      <w:pPr>
        <w:widowControl w:val="0"/>
        <w:numPr>
          <w:ilvl w:val="0"/>
          <w:numId w:val="43"/>
        </w:numPr>
        <w:pBdr>
          <w:top w:val="nil"/>
          <w:left w:val="nil"/>
          <w:bottom w:val="nil"/>
          <w:right w:val="nil"/>
          <w:between w:val="nil"/>
        </w:pBdr>
        <w:spacing w:after="240"/>
        <w:ind w:right="-154"/>
      </w:pPr>
      <w:r w:rsidRPr="00406020">
        <w:t xml:space="preserve">updating their initial </w:t>
      </w:r>
      <w:r w:rsidRPr="00406020">
        <w:rPr>
          <w:b/>
          <w:bCs/>
        </w:rPr>
        <w:t xml:space="preserve">Data Management Plan (DMP) </w:t>
      </w:r>
      <w:r w:rsidRPr="00406020">
        <w:t>per TA project, as included in their original proposal submission, after being awarded and getting ready for the actual TA project deployment</w:t>
      </w:r>
    </w:p>
    <w:p w14:paraId="7D69C793" w14:textId="77777777" w:rsidR="00237B2B" w:rsidRPr="00406020" w:rsidRDefault="00237B2B" w:rsidP="00BB74D4">
      <w:pPr>
        <w:widowControl w:val="0"/>
        <w:numPr>
          <w:ilvl w:val="0"/>
          <w:numId w:val="43"/>
        </w:numPr>
        <w:pBdr>
          <w:top w:val="nil"/>
          <w:left w:val="nil"/>
          <w:bottom w:val="nil"/>
          <w:right w:val="nil"/>
          <w:between w:val="nil"/>
        </w:pBdr>
        <w:spacing w:after="240"/>
        <w:ind w:right="-154"/>
      </w:pPr>
      <w:r w:rsidRPr="00406020">
        <w:t xml:space="preserve">taking part in WP5 data management training activities to learn about AQUARIUS data management standards and getting experience with tools and services </w:t>
      </w:r>
    </w:p>
    <w:p w14:paraId="5E1A60D7" w14:textId="77777777" w:rsidR="00237B2B" w:rsidRPr="00406020" w:rsidRDefault="00237B2B" w:rsidP="00BB74D4">
      <w:pPr>
        <w:widowControl w:val="0"/>
        <w:numPr>
          <w:ilvl w:val="0"/>
          <w:numId w:val="43"/>
        </w:numPr>
        <w:pBdr>
          <w:top w:val="nil"/>
          <w:left w:val="nil"/>
          <w:bottom w:val="nil"/>
          <w:right w:val="nil"/>
          <w:between w:val="nil"/>
        </w:pBdr>
        <w:spacing w:after="240"/>
        <w:ind w:right="-154"/>
        <w:rPr>
          <w:b/>
          <w:bCs/>
        </w:rPr>
      </w:pPr>
      <w:r w:rsidRPr="00406020">
        <w:t xml:space="preserve">using the app during TA activities to complete the </w:t>
      </w:r>
      <w:r w:rsidRPr="00406020">
        <w:rPr>
          <w:b/>
          <w:bCs/>
        </w:rPr>
        <w:t>AQUARIUS TA Data Summary Log</w:t>
      </w:r>
    </w:p>
    <w:p w14:paraId="3501FD7C" w14:textId="77777777" w:rsidR="00237B2B" w:rsidRPr="00406020" w:rsidRDefault="00237B2B" w:rsidP="00BB74D4">
      <w:pPr>
        <w:widowControl w:val="0"/>
        <w:numPr>
          <w:ilvl w:val="0"/>
          <w:numId w:val="43"/>
        </w:numPr>
        <w:pBdr>
          <w:top w:val="nil"/>
          <w:left w:val="nil"/>
          <w:bottom w:val="nil"/>
          <w:right w:val="nil"/>
          <w:between w:val="nil"/>
        </w:pBdr>
        <w:spacing w:after="240"/>
        <w:ind w:right="-154"/>
      </w:pPr>
      <w:r w:rsidRPr="00406020">
        <w:t xml:space="preserve">completing </w:t>
      </w:r>
      <w:r>
        <w:t xml:space="preserve">a </w:t>
      </w:r>
      <w:r>
        <w:rPr>
          <w:b/>
        </w:rPr>
        <w:t>Cruise Summary Report (CSR)</w:t>
      </w:r>
      <w:r>
        <w:rPr>
          <w:b/>
          <w:vertAlign w:val="superscript"/>
        </w:rPr>
        <w:footnoteReference w:id="8"/>
      </w:r>
      <w:r>
        <w:t xml:space="preserve"> </w:t>
      </w:r>
      <w:r w:rsidRPr="00406020">
        <w:t>i</w:t>
      </w:r>
      <w:r>
        <w:t>n case the TA project will involve scientific cruises with Research Vessels</w:t>
      </w:r>
    </w:p>
    <w:p w14:paraId="28664EAC" w14:textId="77777777" w:rsidR="00237B2B" w:rsidRPr="00406020" w:rsidRDefault="00237B2B" w:rsidP="00BB74D4">
      <w:pPr>
        <w:widowControl w:val="0"/>
        <w:numPr>
          <w:ilvl w:val="0"/>
          <w:numId w:val="43"/>
        </w:numPr>
        <w:pBdr>
          <w:top w:val="nil"/>
          <w:left w:val="nil"/>
          <w:bottom w:val="nil"/>
          <w:right w:val="nil"/>
          <w:between w:val="nil"/>
        </w:pBdr>
        <w:spacing w:after="240"/>
        <w:ind w:right="-154"/>
      </w:pPr>
      <w:r w:rsidRPr="00406020">
        <w:t>transforming the original metadata and data to the AQUARIUS prescribed standards, performing QA-QC, and making these FAIR and ready for inclusion in AQUARIUS repositories, thereby supported by AQUARIUS expert data centres.</w:t>
      </w:r>
    </w:p>
    <w:p w14:paraId="77E4E10A" w14:textId="77777777" w:rsidR="00237B2B" w:rsidRDefault="00237B2B" w:rsidP="00BB74D4">
      <w:pPr>
        <w:ind w:right="-154"/>
        <w:rPr>
          <w:b/>
        </w:rPr>
      </w:pPr>
      <w:r>
        <w:rPr>
          <w:b/>
        </w:rPr>
        <w:t>5. Data security</w:t>
      </w:r>
    </w:p>
    <w:p w14:paraId="229A448E" w14:textId="77777777" w:rsidR="00237B2B" w:rsidRDefault="00237B2B" w:rsidP="00BB74D4">
      <w:pPr>
        <w:ind w:right="-154"/>
      </w:pPr>
    </w:p>
    <w:p w14:paraId="1344C23F" w14:textId="77777777" w:rsidR="00237B2B" w:rsidRDefault="00237B2B" w:rsidP="00BB74D4">
      <w:pPr>
        <w:spacing w:after="228"/>
        <w:ind w:left="-5" w:right="-154"/>
      </w:pPr>
      <w:r w:rsidRPr="00406020">
        <w:t xml:space="preserve">The operators of the repositories as used for the AQUARIUS archival and long-term stewardship have security provisions in use such as for </w:t>
      </w:r>
      <w:r>
        <w:t xml:space="preserve">backups, secure storage, firewalls, etc. </w:t>
      </w:r>
    </w:p>
    <w:p w14:paraId="4FDCA960" w14:textId="77777777" w:rsidR="00237B2B" w:rsidRDefault="00237B2B" w:rsidP="00BB74D4">
      <w:pPr>
        <w:spacing w:after="228"/>
        <w:ind w:left="-5" w:right="-154"/>
        <w:rPr>
          <w:i/>
          <w:color w:val="4AA55B"/>
        </w:rPr>
      </w:pPr>
      <w:r>
        <w:t xml:space="preserve">What provisions are in place by the TA teams for data security (including backups, secure storage and transfer) in the initial phase, before the data is transferred to the AQUARIUS expert data centres? </w:t>
      </w:r>
    </w:p>
    <w:p w14:paraId="5F5AB472" w14:textId="77777777" w:rsidR="00237B2B" w:rsidRDefault="00237B2B" w:rsidP="00BB74D4">
      <w:pPr>
        <w:spacing w:after="167" w:line="259" w:lineRule="auto"/>
        <w:ind w:left="-5" w:right="-154"/>
        <w:rPr>
          <w:b/>
        </w:rPr>
      </w:pPr>
      <w:r>
        <w:rPr>
          <w:b/>
        </w:rPr>
        <w:lastRenderedPageBreak/>
        <w:t>6. Ethical aspects</w:t>
      </w:r>
    </w:p>
    <w:p w14:paraId="35C95AD2" w14:textId="77777777" w:rsidR="00237B2B" w:rsidRPr="00406020" w:rsidRDefault="00237B2B" w:rsidP="00BB74D4">
      <w:pPr>
        <w:spacing w:after="228"/>
        <w:ind w:left="-5" w:right="-154"/>
      </w:pPr>
      <w:r w:rsidRPr="00406020">
        <w:t xml:space="preserve">Are there, or could there be, any ethics or legal issues that can have an impact on data sharing? </w:t>
      </w:r>
    </w:p>
    <w:p w14:paraId="08AE093A" w14:textId="77777777" w:rsidR="00237B2B" w:rsidRDefault="00237B2B" w:rsidP="00BB74D4">
      <w:pPr>
        <w:ind w:right="-154"/>
        <w:rPr>
          <w:b/>
        </w:rPr>
      </w:pPr>
      <w:r>
        <w:rPr>
          <w:b/>
        </w:rPr>
        <w:t>7. Other issues</w:t>
      </w:r>
    </w:p>
    <w:p w14:paraId="17A4AEDE" w14:textId="77777777" w:rsidR="00237B2B" w:rsidRDefault="00237B2B" w:rsidP="00BB74D4">
      <w:pPr>
        <w:ind w:right="-154"/>
      </w:pPr>
    </w:p>
    <w:p w14:paraId="23D5485A" w14:textId="77777777" w:rsidR="00237B2B" w:rsidRDefault="00237B2B" w:rsidP="00BB74D4">
      <w:pPr>
        <w:ind w:left="-5" w:right="-154"/>
      </w:pPr>
      <w:r>
        <w:t xml:space="preserve">Will you follow any other national/ sectoral/ departmental procedures for data management, on top of the infrastructure and procedures that AQUARIUS will provide as part of its data management approach? </w:t>
      </w:r>
    </w:p>
    <w:p w14:paraId="48456608" w14:textId="77777777" w:rsidR="00237B2B" w:rsidRDefault="00237B2B" w:rsidP="00BB74D4">
      <w:pPr>
        <w:ind w:left="-5" w:right="-154"/>
      </w:pPr>
    </w:p>
    <w:p w14:paraId="296829BC" w14:textId="77777777" w:rsidR="00237B2B" w:rsidRDefault="00237B2B" w:rsidP="00BB74D4">
      <w:pPr>
        <w:ind w:right="-154"/>
      </w:pPr>
      <w:r>
        <w:t xml:space="preserve">   </w:t>
      </w:r>
    </w:p>
    <w:p w14:paraId="1C15C932" w14:textId="77777777" w:rsidR="00237B2B" w:rsidRDefault="00237B2B" w:rsidP="00BB74D4">
      <w:pPr>
        <w:ind w:right="-154"/>
      </w:pPr>
    </w:p>
    <w:p w14:paraId="0AD449FA" w14:textId="77777777" w:rsidR="00237B2B" w:rsidRPr="0083378F" w:rsidRDefault="00237B2B" w:rsidP="00BB74D4">
      <w:pPr>
        <w:ind w:right="-154"/>
        <w:rPr>
          <w:lang w:val="en-US"/>
        </w:rPr>
      </w:pPr>
    </w:p>
    <w:p w14:paraId="5D1095A8" w14:textId="0D26A1E3" w:rsidR="00892F9A" w:rsidRPr="004960AE" w:rsidRDefault="00892F9A" w:rsidP="00BB74D4">
      <w:pPr>
        <w:ind w:right="-154"/>
      </w:pPr>
    </w:p>
    <w:p w14:paraId="25910022" w14:textId="5EB5AEFB" w:rsidR="00765A31" w:rsidRPr="004960AE" w:rsidRDefault="00765A31" w:rsidP="00BB74D4">
      <w:pPr>
        <w:ind w:right="-154"/>
      </w:pPr>
    </w:p>
    <w:p w14:paraId="578A2A2F" w14:textId="5EFA1627" w:rsidR="00765A31" w:rsidRPr="004960AE" w:rsidRDefault="00765A31" w:rsidP="00BB74D4">
      <w:pPr>
        <w:ind w:right="-154"/>
      </w:pPr>
    </w:p>
    <w:p w14:paraId="358E6EB9" w14:textId="77777777" w:rsidR="00897E36" w:rsidRPr="004960AE" w:rsidRDefault="00897E36" w:rsidP="00BB74D4">
      <w:pPr>
        <w:ind w:right="-154"/>
      </w:pPr>
    </w:p>
    <w:p w14:paraId="17390D29" w14:textId="77777777" w:rsidR="00897E36" w:rsidRPr="004960AE" w:rsidRDefault="00897E36" w:rsidP="005E337A"/>
    <w:p w14:paraId="4D83F75C" w14:textId="77777777" w:rsidR="00897E36" w:rsidRPr="004960AE" w:rsidRDefault="00897E36" w:rsidP="005E337A"/>
    <w:p w14:paraId="7C44299F" w14:textId="77777777" w:rsidR="00897E36" w:rsidRPr="004960AE" w:rsidRDefault="00897E36" w:rsidP="005E337A"/>
    <w:p w14:paraId="697FAF8B" w14:textId="77777777" w:rsidR="00897E36" w:rsidRPr="004960AE" w:rsidRDefault="00897E36" w:rsidP="005E337A"/>
    <w:p w14:paraId="25B93713" w14:textId="77777777" w:rsidR="00897E36" w:rsidRPr="004960AE" w:rsidRDefault="00897E36" w:rsidP="005E337A"/>
    <w:p w14:paraId="24343E8A" w14:textId="6781367F" w:rsidR="00897E36" w:rsidRPr="004960AE" w:rsidRDefault="00897E36" w:rsidP="005E337A"/>
    <w:p w14:paraId="306E840E" w14:textId="77777777" w:rsidR="00897E36" w:rsidRPr="004960AE" w:rsidRDefault="00897E36" w:rsidP="005E337A"/>
    <w:p w14:paraId="3E51827A" w14:textId="77777777" w:rsidR="00897E36" w:rsidRPr="004960AE" w:rsidRDefault="00897E36" w:rsidP="005E337A"/>
    <w:p w14:paraId="2BDAB46A" w14:textId="77777777" w:rsidR="00897E36" w:rsidRPr="004960AE" w:rsidRDefault="00897E36" w:rsidP="005E337A"/>
    <w:p w14:paraId="68F9D46B" w14:textId="77777777" w:rsidR="00897E36" w:rsidRPr="004960AE" w:rsidRDefault="00897E36" w:rsidP="005E337A"/>
    <w:p w14:paraId="49986042" w14:textId="77777777" w:rsidR="00897E36" w:rsidRPr="004960AE" w:rsidRDefault="00897E36" w:rsidP="005E337A"/>
    <w:p w14:paraId="3BD79764" w14:textId="77777777" w:rsidR="00897E36" w:rsidRPr="004960AE" w:rsidRDefault="00897E36" w:rsidP="005E337A"/>
    <w:p w14:paraId="621CB9AD" w14:textId="77777777" w:rsidR="00897E36" w:rsidRPr="004960AE" w:rsidRDefault="00897E36" w:rsidP="005E337A"/>
    <w:p w14:paraId="7FDA088D" w14:textId="77777777" w:rsidR="00897E36" w:rsidRPr="004960AE" w:rsidRDefault="00897E36" w:rsidP="005E337A"/>
    <w:p w14:paraId="598D02C1" w14:textId="77777777" w:rsidR="00897E36" w:rsidRPr="004960AE" w:rsidRDefault="00897E36" w:rsidP="005E337A"/>
    <w:p w14:paraId="16A6CFFA" w14:textId="77777777" w:rsidR="00897E36" w:rsidRPr="004960AE" w:rsidRDefault="00897E36" w:rsidP="005E337A"/>
    <w:p w14:paraId="50DD0CD2" w14:textId="77777777" w:rsidR="00897E36" w:rsidRPr="004960AE" w:rsidRDefault="00897E36" w:rsidP="005E337A"/>
    <w:p w14:paraId="348DB976" w14:textId="77777777" w:rsidR="00897E36" w:rsidRPr="004960AE" w:rsidRDefault="00897E36" w:rsidP="005E337A"/>
    <w:p w14:paraId="64EC6CBB" w14:textId="77777777" w:rsidR="00897E36" w:rsidRPr="004960AE" w:rsidRDefault="00897E36" w:rsidP="005E337A"/>
    <w:p w14:paraId="6BEF7942" w14:textId="77777777" w:rsidR="00897E36" w:rsidRPr="004960AE" w:rsidRDefault="00897E36" w:rsidP="005E337A"/>
    <w:p w14:paraId="26CED71E" w14:textId="77777777" w:rsidR="00897E36" w:rsidRPr="004960AE" w:rsidRDefault="00897E36" w:rsidP="005E337A"/>
    <w:p w14:paraId="1715A8F3" w14:textId="77777777" w:rsidR="00897E36" w:rsidRPr="004960AE" w:rsidRDefault="00897E36" w:rsidP="005E337A"/>
    <w:p w14:paraId="3EB967DC" w14:textId="77777777" w:rsidR="00897E36" w:rsidRPr="004960AE" w:rsidRDefault="00897E36" w:rsidP="005E337A"/>
    <w:p w14:paraId="3F750D67" w14:textId="77777777" w:rsidR="00897E36" w:rsidRPr="004960AE" w:rsidRDefault="00897E36" w:rsidP="005E337A"/>
    <w:p w14:paraId="16A514BF" w14:textId="57BAE89F" w:rsidR="00897E36" w:rsidRPr="004960AE" w:rsidRDefault="00897E36" w:rsidP="005E337A"/>
    <w:sectPr w:rsidR="00897E36" w:rsidRPr="004960AE" w:rsidSect="005B0A71">
      <w:type w:val="evenPage"/>
      <w:pgSz w:w="11906" w:h="16838" w:code="9"/>
      <w:pgMar w:top="1440" w:right="1440" w:bottom="1440" w:left="1440"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68648" w14:textId="77777777" w:rsidR="00421D8E" w:rsidRDefault="00421D8E" w:rsidP="005E337A">
      <w:r>
        <w:separator/>
      </w:r>
    </w:p>
    <w:p w14:paraId="574A6241" w14:textId="77777777" w:rsidR="00421D8E" w:rsidRDefault="00421D8E" w:rsidP="005E337A"/>
    <w:p w14:paraId="5BA8393E" w14:textId="77777777" w:rsidR="00421D8E" w:rsidRDefault="00421D8E" w:rsidP="005E337A"/>
    <w:p w14:paraId="5FA8F35C" w14:textId="77777777" w:rsidR="00421D8E" w:rsidRDefault="00421D8E" w:rsidP="005E337A"/>
    <w:p w14:paraId="6F8D0994" w14:textId="77777777" w:rsidR="00421D8E" w:rsidRDefault="00421D8E" w:rsidP="005E337A"/>
  </w:endnote>
  <w:endnote w:type="continuationSeparator" w:id="0">
    <w:p w14:paraId="1A61D8C7" w14:textId="77777777" w:rsidR="00421D8E" w:rsidRDefault="00421D8E" w:rsidP="005E337A">
      <w:r>
        <w:continuationSeparator/>
      </w:r>
    </w:p>
    <w:p w14:paraId="36C61BAA" w14:textId="77777777" w:rsidR="00421D8E" w:rsidRDefault="00421D8E" w:rsidP="005E337A"/>
    <w:p w14:paraId="69202CA3" w14:textId="77777777" w:rsidR="00421D8E" w:rsidRDefault="00421D8E" w:rsidP="005E337A"/>
    <w:p w14:paraId="125D47ED" w14:textId="77777777" w:rsidR="00421D8E" w:rsidRDefault="00421D8E" w:rsidP="005E337A"/>
    <w:p w14:paraId="1F9D195B" w14:textId="77777777" w:rsidR="00421D8E" w:rsidRDefault="00421D8E" w:rsidP="005E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0279" w14:textId="56AC82CA" w:rsidR="00BB74D4" w:rsidRDefault="00BB74D4" w:rsidP="005E337A">
    <w:pPr>
      <w:pStyle w:val="Fuzeile"/>
    </w:pPr>
    <w:r>
      <w:rPr>
        <w:b/>
        <w:bCs/>
      </w:rPr>
      <w:t xml:space="preserve">                                                                         </w:t>
    </w:r>
    <w:r w:rsidR="004960AE" w:rsidRPr="004960AE">
      <w:rPr>
        <w:b/>
        <w:bCs/>
      </w:rPr>
      <w:t>AQUARIUS</w:t>
    </w:r>
    <w:r w:rsidR="00D666BF" w:rsidRPr="004960AE">
      <w:t xml:space="preserve"> </w:t>
    </w:r>
    <w:r w:rsidR="00D666BF" w:rsidRPr="004960AE">
      <w:rPr>
        <w:shd w:val="clear" w:color="auto" w:fill="FFFFFF"/>
      </w:rPr>
      <w:t>|</w:t>
    </w:r>
    <w:r w:rsidR="00D666BF" w:rsidRPr="004960AE">
      <w:t xml:space="preserve"> </w:t>
    </w:r>
    <w:r>
      <w:t>initial DMP template</w:t>
    </w:r>
  </w:p>
  <w:p w14:paraId="16B2E3CC" w14:textId="026A619A" w:rsidR="00663008" w:rsidRPr="004960AE" w:rsidRDefault="00663008" w:rsidP="005E337A">
    <w:pPr>
      <w:pStyle w:val="Fuzeile"/>
    </w:pPr>
    <w:r w:rsidRPr="004960AE">
      <w:tab/>
    </w:r>
    <w:r w:rsidRPr="004960AE">
      <w:tab/>
      <w:t xml:space="preserve"> </w:t>
    </w:r>
    <w:sdt>
      <w:sdtPr>
        <w:id w:val="1617570670"/>
        <w:docPartObj>
          <w:docPartGallery w:val="Page Numbers (Bottom of Page)"/>
          <w:docPartUnique/>
        </w:docPartObj>
      </w:sdtPr>
      <w:sdtEndPr>
        <w:rPr>
          <w:noProof/>
        </w:rPr>
      </w:sdtEndPr>
      <w:sdtContent>
        <w:r w:rsidRPr="004960AE">
          <w:fldChar w:fldCharType="begin"/>
        </w:r>
        <w:r w:rsidRPr="004960AE">
          <w:instrText xml:space="preserve"> PAGE   \* MERGEFORMAT </w:instrText>
        </w:r>
        <w:r w:rsidRPr="004960AE">
          <w:fldChar w:fldCharType="separate"/>
        </w:r>
        <w:r w:rsidRPr="004960AE">
          <w:t>2</w:t>
        </w:r>
        <w:r w:rsidRPr="004960AE">
          <w:rPr>
            <w:noProof/>
          </w:rPr>
          <w:fldChar w:fldCharType="end"/>
        </w:r>
      </w:sdtContent>
    </w:sdt>
  </w:p>
  <w:p w14:paraId="0B5E48AC" w14:textId="5A63298D" w:rsidR="00270199" w:rsidRDefault="00270199" w:rsidP="005E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0981" w14:textId="159D3417" w:rsidR="0089309A" w:rsidRDefault="0089309A" w:rsidP="005E337A">
    <w:pPr>
      <w:pStyle w:val="Fuzeile"/>
    </w:pPr>
    <w:r>
      <w:tab/>
    </w:r>
    <w:r w:rsidR="0057642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C340A" w14:textId="77777777" w:rsidR="00421D8E" w:rsidRDefault="00421D8E" w:rsidP="005E337A">
      <w:r>
        <w:separator/>
      </w:r>
    </w:p>
    <w:p w14:paraId="32F51D67" w14:textId="77777777" w:rsidR="00421D8E" w:rsidRDefault="00421D8E" w:rsidP="005E337A"/>
    <w:p w14:paraId="0075D3FC" w14:textId="77777777" w:rsidR="00421D8E" w:rsidRDefault="00421D8E" w:rsidP="005E337A"/>
    <w:p w14:paraId="43521CAD" w14:textId="77777777" w:rsidR="00421D8E" w:rsidRDefault="00421D8E" w:rsidP="005E337A"/>
    <w:p w14:paraId="4022E02E" w14:textId="77777777" w:rsidR="00421D8E" w:rsidRDefault="00421D8E" w:rsidP="005E337A"/>
  </w:footnote>
  <w:footnote w:type="continuationSeparator" w:id="0">
    <w:p w14:paraId="1B88AA49" w14:textId="77777777" w:rsidR="00421D8E" w:rsidRDefault="00421D8E" w:rsidP="005E337A">
      <w:r>
        <w:continuationSeparator/>
      </w:r>
    </w:p>
    <w:p w14:paraId="64F96039" w14:textId="77777777" w:rsidR="00421D8E" w:rsidRDefault="00421D8E" w:rsidP="005E337A"/>
    <w:p w14:paraId="4DED6344" w14:textId="77777777" w:rsidR="00421D8E" w:rsidRDefault="00421D8E" w:rsidP="005E337A"/>
    <w:p w14:paraId="27060B82" w14:textId="77777777" w:rsidR="00421D8E" w:rsidRDefault="00421D8E" w:rsidP="005E337A"/>
    <w:p w14:paraId="2DF451F8" w14:textId="77777777" w:rsidR="00421D8E" w:rsidRDefault="00421D8E" w:rsidP="005E337A"/>
  </w:footnote>
  <w:footnote w:id="1">
    <w:p w14:paraId="1E1D3F6F" w14:textId="77777777" w:rsidR="00237B2B" w:rsidRDefault="00237B2B" w:rsidP="00237B2B">
      <w:pPr>
        <w:rPr>
          <w:sz w:val="16"/>
          <w:szCs w:val="16"/>
        </w:rPr>
      </w:pPr>
      <w:r>
        <w:rPr>
          <w:vertAlign w:val="superscript"/>
        </w:rPr>
        <w:footnoteRef/>
      </w:r>
      <w:r>
        <w:rPr>
          <w:sz w:val="16"/>
          <w:szCs w:val="16"/>
        </w:rPr>
        <w:t xml:space="preserve">https://www.seadatanet.org </w:t>
      </w:r>
    </w:p>
  </w:footnote>
  <w:footnote w:id="2">
    <w:p w14:paraId="6317411D" w14:textId="77777777" w:rsidR="00237B2B" w:rsidRDefault="00237B2B" w:rsidP="00237B2B">
      <w:pPr>
        <w:spacing w:line="276" w:lineRule="auto"/>
      </w:pPr>
      <w:r>
        <w:rPr>
          <w:vertAlign w:val="superscript"/>
        </w:rPr>
        <w:footnoteRef/>
      </w:r>
      <w:r>
        <w:rPr>
          <w:sz w:val="16"/>
          <w:szCs w:val="16"/>
        </w:rPr>
        <w:t>https://www.eurobis.org</w:t>
      </w:r>
    </w:p>
  </w:footnote>
  <w:footnote w:id="3">
    <w:p w14:paraId="0E29F3CB" w14:textId="77777777" w:rsidR="00237B2B" w:rsidRDefault="00237B2B" w:rsidP="00237B2B">
      <w:pPr>
        <w:spacing w:line="276" w:lineRule="auto"/>
      </w:pPr>
      <w:r>
        <w:rPr>
          <w:vertAlign w:val="superscript"/>
        </w:rPr>
        <w:footnoteRef/>
      </w:r>
      <w:r>
        <w:rPr>
          <w:sz w:val="16"/>
          <w:szCs w:val="16"/>
        </w:rPr>
        <w:t>https://www.ebi.ac.uk/ena/</w:t>
      </w:r>
    </w:p>
  </w:footnote>
  <w:footnote w:id="4">
    <w:p w14:paraId="7A7A68B1" w14:textId="77777777" w:rsidR="00237B2B" w:rsidRDefault="00237B2B" w:rsidP="00237B2B">
      <w:pPr>
        <w:spacing w:line="276" w:lineRule="auto"/>
      </w:pPr>
      <w:r>
        <w:rPr>
          <w:vertAlign w:val="superscript"/>
        </w:rPr>
        <w:footnoteRef/>
      </w:r>
      <w:r>
        <w:rPr>
          <w:sz w:val="16"/>
          <w:szCs w:val="16"/>
        </w:rPr>
        <w:t>https://www.icos-cp.eu/observations/ocean/otc</w:t>
      </w:r>
      <w:r>
        <w:t xml:space="preserve"> </w:t>
      </w:r>
    </w:p>
  </w:footnote>
  <w:footnote w:id="5">
    <w:p w14:paraId="450F461C" w14:textId="77777777" w:rsidR="00237B2B" w:rsidRDefault="00237B2B" w:rsidP="00237B2B">
      <w:pPr>
        <w:spacing w:line="276" w:lineRule="auto"/>
      </w:pPr>
      <w:r>
        <w:rPr>
          <w:vertAlign w:val="superscript"/>
        </w:rPr>
        <w:footnoteRef/>
      </w:r>
      <w:r>
        <w:rPr>
          <w:sz w:val="16"/>
          <w:szCs w:val="16"/>
        </w:rPr>
        <w:t>https://marine.copernicus.eu/about/producers/insitu-tac</w:t>
      </w:r>
    </w:p>
  </w:footnote>
  <w:footnote w:id="6">
    <w:p w14:paraId="76018B17" w14:textId="77777777" w:rsidR="00237B2B" w:rsidRDefault="00237B2B" w:rsidP="00237B2B">
      <w:pPr>
        <w:rPr>
          <w:sz w:val="16"/>
          <w:szCs w:val="16"/>
        </w:rPr>
      </w:pPr>
      <w:r>
        <w:rPr>
          <w:vertAlign w:val="superscript"/>
        </w:rPr>
        <w:footnoteRef/>
      </w:r>
      <w:r>
        <w:rPr>
          <w:sz w:val="16"/>
          <w:szCs w:val="16"/>
        </w:rPr>
        <w:t>https://www.emodnet-ingestion.eu</w:t>
      </w:r>
    </w:p>
  </w:footnote>
  <w:footnote w:id="7">
    <w:p w14:paraId="3441F947" w14:textId="77777777" w:rsidR="00237B2B" w:rsidRDefault="00237B2B" w:rsidP="00237B2B">
      <w:pPr>
        <w:spacing w:line="276" w:lineRule="auto"/>
        <w:rPr>
          <w:sz w:val="16"/>
          <w:szCs w:val="16"/>
        </w:rPr>
      </w:pPr>
      <w:r>
        <w:rPr>
          <w:vertAlign w:val="superscript"/>
        </w:rPr>
        <w:footnoteRef/>
      </w:r>
      <w:r>
        <w:rPr>
          <w:sz w:val="16"/>
          <w:szCs w:val="16"/>
        </w:rPr>
        <w:t>https://www.seadatanet.org/Software/SEANOE</w:t>
      </w:r>
    </w:p>
    <w:p w14:paraId="6204DF73" w14:textId="77777777" w:rsidR="00237B2B" w:rsidRDefault="00237B2B" w:rsidP="00237B2B">
      <w:r>
        <w:t xml:space="preserve"> </w:t>
      </w:r>
    </w:p>
  </w:footnote>
  <w:footnote w:id="8">
    <w:p w14:paraId="6FFD23A1" w14:textId="77777777" w:rsidR="00237B2B" w:rsidRDefault="00237B2B" w:rsidP="00237B2B">
      <w:pPr>
        <w:rPr>
          <w:sz w:val="16"/>
          <w:szCs w:val="16"/>
        </w:rPr>
      </w:pPr>
      <w:r>
        <w:rPr>
          <w:vertAlign w:val="superscript"/>
        </w:rPr>
        <w:footnoteRef/>
      </w:r>
      <w:r>
        <w:rPr>
          <w:sz w:val="16"/>
          <w:szCs w:val="16"/>
        </w:rPr>
        <w:t>https://www.seadatanet.org/Metadata/CSR-Cruises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23EB7" w14:textId="69F6BAD6" w:rsidR="00270199" w:rsidRDefault="000F2FE9" w:rsidP="005E337A">
    <w:pPr>
      <w:pStyle w:val="Kopfzeile"/>
    </w:pPr>
    <w:r>
      <w:rPr>
        <w:noProof/>
      </w:rPr>
      <w:drawing>
        <wp:anchor distT="0" distB="0" distL="114300" distR="114300" simplePos="0" relativeHeight="251660288" behindDoc="0" locked="0" layoutInCell="1" allowOverlap="1" wp14:anchorId="4EF81E08" wp14:editId="1F28A58D">
          <wp:simplePos x="0" y="0"/>
          <wp:positionH relativeFrom="page">
            <wp:posOffset>6580505</wp:posOffset>
          </wp:positionH>
          <wp:positionV relativeFrom="paragraph">
            <wp:posOffset>-451485</wp:posOffset>
          </wp:positionV>
          <wp:extent cx="972185" cy="907415"/>
          <wp:effectExtent l="0" t="0" r="0" b="0"/>
          <wp:wrapSquare wrapText="bothSides"/>
          <wp:docPr id="974287150" name="Picture 97428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50562" name="Picture 114845056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218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B5A">
      <w:rPr>
        <w:noProof/>
      </w:rPr>
      <w:t xml:space="preserve"> </w:t>
    </w:r>
    <w:r w:rsidR="00723809">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4E2E" w14:textId="04921354" w:rsidR="00892F9A" w:rsidRDefault="000F2FE9" w:rsidP="005E337A">
    <w:pPr>
      <w:pStyle w:val="Kopfzeile"/>
    </w:pPr>
    <w:r>
      <w:rPr>
        <w:noProof/>
      </w:rPr>
      <w:drawing>
        <wp:anchor distT="0" distB="0" distL="114300" distR="114300" simplePos="0" relativeHeight="251663360" behindDoc="1" locked="0" layoutInCell="1" allowOverlap="1" wp14:anchorId="72FC35C9" wp14:editId="7786C678">
          <wp:simplePos x="0" y="0"/>
          <wp:positionH relativeFrom="page">
            <wp:align>left</wp:align>
          </wp:positionH>
          <wp:positionV relativeFrom="page">
            <wp:align>top</wp:align>
          </wp:positionV>
          <wp:extent cx="7564116" cy="10695191"/>
          <wp:effectExtent l="0" t="0" r="0" b="0"/>
          <wp:wrapNone/>
          <wp:docPr id="71943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3303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16" cy="106951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Shape, circle&#10;&#10;&#10;&#10;&#10;&#10;&#10;&#10;Description automatically generated" style="width:13.85pt;height:13.85pt;visibility:visible;mso-wrap-style:square" o:bullet="t">
        <v:imagedata r:id="rId1" o:title="Shape, circle&#10;&#10;&#10;&#10;&#10;&#10;&#10;&#10;Description automatically generated"/>
      </v:shape>
    </w:pict>
  </w:numPicBullet>
  <w:numPicBullet w:numPicBulletId="1">
    <w:pict>
      <v:shape id="_x0000_i1030" type="#_x0000_t75" alt="Shape, circle&#10;&#10;&#10;&#10;&#10;&#10;&#10;&#10;Description automatically generated" style="width:13.85pt;height:13.85pt;visibility:visible;mso-wrap-style:square" o:bullet="t">
        <v:imagedata r:id="rId2" o:title="Shape, circle&#10;&#10;&#10;&#10;&#10;&#10;&#10;&#10;Description automatically generated"/>
      </v:shape>
    </w:pict>
  </w:numPicBullet>
  <w:abstractNum w:abstractNumId="0" w15:restartNumberingAfterBreak="0">
    <w:nsid w:val="07FC6DDF"/>
    <w:multiLevelType w:val="multilevel"/>
    <w:tmpl w:val="BC3C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A01468"/>
    <w:multiLevelType w:val="multilevel"/>
    <w:tmpl w:val="2E06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104AF2"/>
    <w:multiLevelType w:val="multilevel"/>
    <w:tmpl w:val="F5F08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61927"/>
    <w:multiLevelType w:val="multilevel"/>
    <w:tmpl w:val="6BA2A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011588"/>
    <w:multiLevelType w:val="multilevel"/>
    <w:tmpl w:val="8EACD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1B0765"/>
    <w:multiLevelType w:val="multilevel"/>
    <w:tmpl w:val="A61A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747552"/>
    <w:multiLevelType w:val="multilevel"/>
    <w:tmpl w:val="68D653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060638"/>
    <w:multiLevelType w:val="multilevel"/>
    <w:tmpl w:val="A8A2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4365ED"/>
    <w:multiLevelType w:val="multilevel"/>
    <w:tmpl w:val="F87E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39180D"/>
    <w:multiLevelType w:val="hybridMultilevel"/>
    <w:tmpl w:val="CB2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53905"/>
    <w:multiLevelType w:val="multilevel"/>
    <w:tmpl w:val="09C427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4226F6"/>
    <w:multiLevelType w:val="multilevel"/>
    <w:tmpl w:val="B80AC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88726F"/>
    <w:multiLevelType w:val="multilevel"/>
    <w:tmpl w:val="D8F4B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710C8D"/>
    <w:multiLevelType w:val="multilevel"/>
    <w:tmpl w:val="7F06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510D4F"/>
    <w:multiLevelType w:val="multilevel"/>
    <w:tmpl w:val="5D829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E35631"/>
    <w:multiLevelType w:val="multilevel"/>
    <w:tmpl w:val="C432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FB06AD"/>
    <w:multiLevelType w:val="multilevel"/>
    <w:tmpl w:val="BA84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7246E5"/>
    <w:multiLevelType w:val="multilevel"/>
    <w:tmpl w:val="F5F08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8A3042"/>
    <w:multiLevelType w:val="hybridMultilevel"/>
    <w:tmpl w:val="E714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C306B3"/>
    <w:multiLevelType w:val="multilevel"/>
    <w:tmpl w:val="883CC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6249DF"/>
    <w:multiLevelType w:val="multilevel"/>
    <w:tmpl w:val="556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6A006C"/>
    <w:multiLevelType w:val="multilevel"/>
    <w:tmpl w:val="D326D1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622A49"/>
    <w:multiLevelType w:val="multilevel"/>
    <w:tmpl w:val="ECC02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A81DC6"/>
    <w:multiLevelType w:val="multilevel"/>
    <w:tmpl w:val="EEF6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D840E1"/>
    <w:multiLevelType w:val="multilevel"/>
    <w:tmpl w:val="6B48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461F98"/>
    <w:multiLevelType w:val="multilevel"/>
    <w:tmpl w:val="7502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7169BF"/>
    <w:multiLevelType w:val="hybridMultilevel"/>
    <w:tmpl w:val="0200296A"/>
    <w:lvl w:ilvl="0" w:tplc="4FD4F9CC">
      <w:start w:val="1"/>
      <w:numFmt w:val="bullet"/>
      <w:lvlText w:val=""/>
      <w:lvlPicBulletId w:val="0"/>
      <w:lvlJc w:val="left"/>
      <w:pPr>
        <w:tabs>
          <w:tab w:val="num" w:pos="360"/>
        </w:tabs>
        <w:ind w:left="360" w:hanging="360"/>
      </w:pPr>
      <w:rPr>
        <w:rFonts w:ascii="Symbol" w:hAnsi="Symbol" w:hint="default"/>
      </w:rPr>
    </w:lvl>
    <w:lvl w:ilvl="1" w:tplc="C9A4159E" w:tentative="1">
      <w:start w:val="1"/>
      <w:numFmt w:val="bullet"/>
      <w:lvlText w:val=""/>
      <w:lvlJc w:val="left"/>
      <w:pPr>
        <w:tabs>
          <w:tab w:val="num" w:pos="1080"/>
        </w:tabs>
        <w:ind w:left="1080" w:hanging="360"/>
      </w:pPr>
      <w:rPr>
        <w:rFonts w:ascii="Symbol" w:hAnsi="Symbol" w:hint="default"/>
      </w:rPr>
    </w:lvl>
    <w:lvl w:ilvl="2" w:tplc="9C9A3220" w:tentative="1">
      <w:start w:val="1"/>
      <w:numFmt w:val="bullet"/>
      <w:lvlText w:val=""/>
      <w:lvlJc w:val="left"/>
      <w:pPr>
        <w:tabs>
          <w:tab w:val="num" w:pos="1800"/>
        </w:tabs>
        <w:ind w:left="1800" w:hanging="360"/>
      </w:pPr>
      <w:rPr>
        <w:rFonts w:ascii="Symbol" w:hAnsi="Symbol" w:hint="default"/>
      </w:rPr>
    </w:lvl>
    <w:lvl w:ilvl="3" w:tplc="73E6A18E" w:tentative="1">
      <w:start w:val="1"/>
      <w:numFmt w:val="bullet"/>
      <w:lvlText w:val=""/>
      <w:lvlJc w:val="left"/>
      <w:pPr>
        <w:tabs>
          <w:tab w:val="num" w:pos="2520"/>
        </w:tabs>
        <w:ind w:left="2520" w:hanging="360"/>
      </w:pPr>
      <w:rPr>
        <w:rFonts w:ascii="Symbol" w:hAnsi="Symbol" w:hint="default"/>
      </w:rPr>
    </w:lvl>
    <w:lvl w:ilvl="4" w:tplc="461ACC62" w:tentative="1">
      <w:start w:val="1"/>
      <w:numFmt w:val="bullet"/>
      <w:lvlText w:val=""/>
      <w:lvlJc w:val="left"/>
      <w:pPr>
        <w:tabs>
          <w:tab w:val="num" w:pos="3240"/>
        </w:tabs>
        <w:ind w:left="3240" w:hanging="360"/>
      </w:pPr>
      <w:rPr>
        <w:rFonts w:ascii="Symbol" w:hAnsi="Symbol" w:hint="default"/>
      </w:rPr>
    </w:lvl>
    <w:lvl w:ilvl="5" w:tplc="4AB217B0" w:tentative="1">
      <w:start w:val="1"/>
      <w:numFmt w:val="bullet"/>
      <w:lvlText w:val=""/>
      <w:lvlJc w:val="left"/>
      <w:pPr>
        <w:tabs>
          <w:tab w:val="num" w:pos="3960"/>
        </w:tabs>
        <w:ind w:left="3960" w:hanging="360"/>
      </w:pPr>
      <w:rPr>
        <w:rFonts w:ascii="Symbol" w:hAnsi="Symbol" w:hint="default"/>
      </w:rPr>
    </w:lvl>
    <w:lvl w:ilvl="6" w:tplc="0F966D58" w:tentative="1">
      <w:start w:val="1"/>
      <w:numFmt w:val="bullet"/>
      <w:lvlText w:val=""/>
      <w:lvlJc w:val="left"/>
      <w:pPr>
        <w:tabs>
          <w:tab w:val="num" w:pos="4680"/>
        </w:tabs>
        <w:ind w:left="4680" w:hanging="360"/>
      </w:pPr>
      <w:rPr>
        <w:rFonts w:ascii="Symbol" w:hAnsi="Symbol" w:hint="default"/>
      </w:rPr>
    </w:lvl>
    <w:lvl w:ilvl="7" w:tplc="33C8DE82" w:tentative="1">
      <w:start w:val="1"/>
      <w:numFmt w:val="bullet"/>
      <w:lvlText w:val=""/>
      <w:lvlJc w:val="left"/>
      <w:pPr>
        <w:tabs>
          <w:tab w:val="num" w:pos="5400"/>
        </w:tabs>
        <w:ind w:left="5400" w:hanging="360"/>
      </w:pPr>
      <w:rPr>
        <w:rFonts w:ascii="Symbol" w:hAnsi="Symbol" w:hint="default"/>
      </w:rPr>
    </w:lvl>
    <w:lvl w:ilvl="8" w:tplc="CCC08588"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5DB953C6"/>
    <w:multiLevelType w:val="multilevel"/>
    <w:tmpl w:val="4440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676EAA"/>
    <w:multiLevelType w:val="multilevel"/>
    <w:tmpl w:val="7762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EA7088"/>
    <w:multiLevelType w:val="multilevel"/>
    <w:tmpl w:val="CDDE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FE1A6B"/>
    <w:multiLevelType w:val="multilevel"/>
    <w:tmpl w:val="78F4C3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6B7377E"/>
    <w:multiLevelType w:val="multilevel"/>
    <w:tmpl w:val="1360C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69035F"/>
    <w:multiLevelType w:val="hybridMultilevel"/>
    <w:tmpl w:val="FF003888"/>
    <w:lvl w:ilvl="0" w:tplc="068ECD2C">
      <w:start w:val="1"/>
      <w:numFmt w:val="bullet"/>
      <w:lvlText w:val=""/>
      <w:lvlPicBulletId w:val="0"/>
      <w:lvlJc w:val="left"/>
      <w:pPr>
        <w:tabs>
          <w:tab w:val="num" w:pos="720"/>
        </w:tabs>
        <w:ind w:left="720" w:hanging="360"/>
      </w:pPr>
      <w:rPr>
        <w:rFonts w:ascii="Symbol" w:hAnsi="Symbol" w:hint="default"/>
      </w:rPr>
    </w:lvl>
    <w:lvl w:ilvl="1" w:tplc="C77441EC" w:tentative="1">
      <w:start w:val="1"/>
      <w:numFmt w:val="bullet"/>
      <w:lvlText w:val=""/>
      <w:lvlJc w:val="left"/>
      <w:pPr>
        <w:tabs>
          <w:tab w:val="num" w:pos="1440"/>
        </w:tabs>
        <w:ind w:left="1440" w:hanging="360"/>
      </w:pPr>
      <w:rPr>
        <w:rFonts w:ascii="Symbol" w:hAnsi="Symbol" w:hint="default"/>
      </w:rPr>
    </w:lvl>
    <w:lvl w:ilvl="2" w:tplc="7D12A302" w:tentative="1">
      <w:start w:val="1"/>
      <w:numFmt w:val="bullet"/>
      <w:lvlText w:val=""/>
      <w:lvlJc w:val="left"/>
      <w:pPr>
        <w:tabs>
          <w:tab w:val="num" w:pos="2160"/>
        </w:tabs>
        <w:ind w:left="2160" w:hanging="360"/>
      </w:pPr>
      <w:rPr>
        <w:rFonts w:ascii="Symbol" w:hAnsi="Symbol" w:hint="default"/>
      </w:rPr>
    </w:lvl>
    <w:lvl w:ilvl="3" w:tplc="EB5005E2" w:tentative="1">
      <w:start w:val="1"/>
      <w:numFmt w:val="bullet"/>
      <w:lvlText w:val=""/>
      <w:lvlJc w:val="left"/>
      <w:pPr>
        <w:tabs>
          <w:tab w:val="num" w:pos="2880"/>
        </w:tabs>
        <w:ind w:left="2880" w:hanging="360"/>
      </w:pPr>
      <w:rPr>
        <w:rFonts w:ascii="Symbol" w:hAnsi="Symbol" w:hint="default"/>
      </w:rPr>
    </w:lvl>
    <w:lvl w:ilvl="4" w:tplc="0638E942" w:tentative="1">
      <w:start w:val="1"/>
      <w:numFmt w:val="bullet"/>
      <w:lvlText w:val=""/>
      <w:lvlJc w:val="left"/>
      <w:pPr>
        <w:tabs>
          <w:tab w:val="num" w:pos="3600"/>
        </w:tabs>
        <w:ind w:left="3600" w:hanging="360"/>
      </w:pPr>
      <w:rPr>
        <w:rFonts w:ascii="Symbol" w:hAnsi="Symbol" w:hint="default"/>
      </w:rPr>
    </w:lvl>
    <w:lvl w:ilvl="5" w:tplc="243A17B6" w:tentative="1">
      <w:start w:val="1"/>
      <w:numFmt w:val="bullet"/>
      <w:lvlText w:val=""/>
      <w:lvlJc w:val="left"/>
      <w:pPr>
        <w:tabs>
          <w:tab w:val="num" w:pos="4320"/>
        </w:tabs>
        <w:ind w:left="4320" w:hanging="360"/>
      </w:pPr>
      <w:rPr>
        <w:rFonts w:ascii="Symbol" w:hAnsi="Symbol" w:hint="default"/>
      </w:rPr>
    </w:lvl>
    <w:lvl w:ilvl="6" w:tplc="E6F623B6" w:tentative="1">
      <w:start w:val="1"/>
      <w:numFmt w:val="bullet"/>
      <w:lvlText w:val=""/>
      <w:lvlJc w:val="left"/>
      <w:pPr>
        <w:tabs>
          <w:tab w:val="num" w:pos="5040"/>
        </w:tabs>
        <w:ind w:left="5040" w:hanging="360"/>
      </w:pPr>
      <w:rPr>
        <w:rFonts w:ascii="Symbol" w:hAnsi="Symbol" w:hint="default"/>
      </w:rPr>
    </w:lvl>
    <w:lvl w:ilvl="7" w:tplc="7A5CAD2E" w:tentative="1">
      <w:start w:val="1"/>
      <w:numFmt w:val="bullet"/>
      <w:lvlText w:val=""/>
      <w:lvlJc w:val="left"/>
      <w:pPr>
        <w:tabs>
          <w:tab w:val="num" w:pos="5760"/>
        </w:tabs>
        <w:ind w:left="5760" w:hanging="360"/>
      </w:pPr>
      <w:rPr>
        <w:rFonts w:ascii="Symbol" w:hAnsi="Symbol" w:hint="default"/>
      </w:rPr>
    </w:lvl>
    <w:lvl w:ilvl="8" w:tplc="5E429D6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C5A76F2"/>
    <w:multiLevelType w:val="multilevel"/>
    <w:tmpl w:val="E8EC48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D70EE5"/>
    <w:multiLevelType w:val="multilevel"/>
    <w:tmpl w:val="0FE8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F30736"/>
    <w:multiLevelType w:val="multilevel"/>
    <w:tmpl w:val="AF6E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8241D0"/>
    <w:multiLevelType w:val="hybridMultilevel"/>
    <w:tmpl w:val="2B6AD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125AF0"/>
    <w:multiLevelType w:val="multilevel"/>
    <w:tmpl w:val="DE8AF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2D5A4F"/>
    <w:multiLevelType w:val="multilevel"/>
    <w:tmpl w:val="A980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CA4EC1"/>
    <w:multiLevelType w:val="multilevel"/>
    <w:tmpl w:val="2340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E8600E"/>
    <w:multiLevelType w:val="multilevel"/>
    <w:tmpl w:val="0C881C76"/>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2700" w:hanging="432"/>
      </w:pPr>
      <w:rPr>
        <w:rFonts w:hint="default"/>
      </w:rPr>
    </w:lvl>
    <w:lvl w:ilvl="2">
      <w:start w:val="1"/>
      <w:numFmt w:val="decimal"/>
      <w:pStyle w:val="berschrif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BF359E5"/>
    <w:multiLevelType w:val="multilevel"/>
    <w:tmpl w:val="C286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A07DD6"/>
    <w:multiLevelType w:val="multilevel"/>
    <w:tmpl w:val="A100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9"/>
  </w:num>
  <w:num w:numId="3">
    <w:abstractNumId w:val="23"/>
  </w:num>
  <w:num w:numId="4">
    <w:abstractNumId w:val="1"/>
  </w:num>
  <w:num w:numId="5">
    <w:abstractNumId w:val="38"/>
  </w:num>
  <w:num w:numId="6">
    <w:abstractNumId w:val="25"/>
  </w:num>
  <w:num w:numId="7">
    <w:abstractNumId w:val="34"/>
  </w:num>
  <w:num w:numId="8">
    <w:abstractNumId w:val="16"/>
  </w:num>
  <w:num w:numId="9">
    <w:abstractNumId w:val="20"/>
  </w:num>
  <w:num w:numId="10">
    <w:abstractNumId w:val="15"/>
  </w:num>
  <w:num w:numId="11">
    <w:abstractNumId w:val="35"/>
  </w:num>
  <w:num w:numId="12">
    <w:abstractNumId w:val="24"/>
  </w:num>
  <w:num w:numId="13">
    <w:abstractNumId w:val="41"/>
  </w:num>
  <w:num w:numId="14">
    <w:abstractNumId w:val="5"/>
  </w:num>
  <w:num w:numId="15">
    <w:abstractNumId w:val="28"/>
  </w:num>
  <w:num w:numId="16">
    <w:abstractNumId w:val="13"/>
  </w:num>
  <w:num w:numId="17">
    <w:abstractNumId w:val="7"/>
  </w:num>
  <w:num w:numId="18">
    <w:abstractNumId w:val="37"/>
  </w:num>
  <w:num w:numId="19">
    <w:abstractNumId w:val="0"/>
  </w:num>
  <w:num w:numId="20">
    <w:abstractNumId w:val="27"/>
  </w:num>
  <w:num w:numId="21">
    <w:abstractNumId w:val="19"/>
  </w:num>
  <w:num w:numId="22">
    <w:abstractNumId w:val="8"/>
  </w:num>
  <w:num w:numId="23">
    <w:abstractNumId w:val="4"/>
  </w:num>
  <w:num w:numId="24">
    <w:abstractNumId w:val="33"/>
  </w:num>
  <w:num w:numId="25">
    <w:abstractNumId w:val="31"/>
  </w:num>
  <w:num w:numId="26">
    <w:abstractNumId w:val="22"/>
  </w:num>
  <w:num w:numId="27">
    <w:abstractNumId w:val="14"/>
  </w:num>
  <w:num w:numId="28">
    <w:abstractNumId w:val="36"/>
  </w:num>
  <w:num w:numId="29">
    <w:abstractNumId w:val="18"/>
  </w:num>
  <w:num w:numId="30">
    <w:abstractNumId w:val="12"/>
  </w:num>
  <w:num w:numId="31">
    <w:abstractNumId w:val="39"/>
  </w:num>
  <w:num w:numId="32">
    <w:abstractNumId w:val="42"/>
  </w:num>
  <w:num w:numId="33">
    <w:abstractNumId w:val="3"/>
  </w:num>
  <w:num w:numId="34">
    <w:abstractNumId w:val="6"/>
  </w:num>
  <w:num w:numId="35">
    <w:abstractNumId w:val="21"/>
  </w:num>
  <w:num w:numId="36">
    <w:abstractNumId w:val="32"/>
  </w:num>
  <w:num w:numId="37">
    <w:abstractNumId w:val="10"/>
  </w:num>
  <w:num w:numId="38">
    <w:abstractNumId w:val="30"/>
  </w:num>
  <w:num w:numId="39">
    <w:abstractNumId w:val="40"/>
  </w:num>
  <w:num w:numId="40">
    <w:abstractNumId w:val="2"/>
  </w:num>
  <w:num w:numId="41">
    <w:abstractNumId w:val="26"/>
  </w:num>
  <w:num w:numId="42">
    <w:abstractNumId w:val="9"/>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12"/>
    <w:rsid w:val="00001B6A"/>
    <w:rsid w:val="00002003"/>
    <w:rsid w:val="00005A81"/>
    <w:rsid w:val="00016A85"/>
    <w:rsid w:val="00022CD9"/>
    <w:rsid w:val="000417FD"/>
    <w:rsid w:val="00052B44"/>
    <w:rsid w:val="00052DA2"/>
    <w:rsid w:val="00061C9D"/>
    <w:rsid w:val="00065660"/>
    <w:rsid w:val="00067E25"/>
    <w:rsid w:val="000832FA"/>
    <w:rsid w:val="000A054B"/>
    <w:rsid w:val="000B5EA4"/>
    <w:rsid w:val="000C67BE"/>
    <w:rsid w:val="000F275A"/>
    <w:rsid w:val="000F2FE9"/>
    <w:rsid w:val="001007C5"/>
    <w:rsid w:val="001031C7"/>
    <w:rsid w:val="00121212"/>
    <w:rsid w:val="00125FC2"/>
    <w:rsid w:val="00146A8E"/>
    <w:rsid w:val="00151D16"/>
    <w:rsid w:val="00153DF2"/>
    <w:rsid w:val="00157CCA"/>
    <w:rsid w:val="00165F36"/>
    <w:rsid w:val="001717DC"/>
    <w:rsid w:val="0018789A"/>
    <w:rsid w:val="00194E6B"/>
    <w:rsid w:val="001A6D49"/>
    <w:rsid w:val="001C5A80"/>
    <w:rsid w:val="001F493B"/>
    <w:rsid w:val="00202A5B"/>
    <w:rsid w:val="00202E7E"/>
    <w:rsid w:val="00203D78"/>
    <w:rsid w:val="00211981"/>
    <w:rsid w:val="00216DA5"/>
    <w:rsid w:val="00220B5A"/>
    <w:rsid w:val="002317A1"/>
    <w:rsid w:val="002326AF"/>
    <w:rsid w:val="002368C3"/>
    <w:rsid w:val="00237B2B"/>
    <w:rsid w:val="002565AA"/>
    <w:rsid w:val="0025796A"/>
    <w:rsid w:val="0026327E"/>
    <w:rsid w:val="002635E2"/>
    <w:rsid w:val="00270189"/>
    <w:rsid w:val="00270199"/>
    <w:rsid w:val="00274817"/>
    <w:rsid w:val="00275CB1"/>
    <w:rsid w:val="00277D7C"/>
    <w:rsid w:val="00284462"/>
    <w:rsid w:val="002913C1"/>
    <w:rsid w:val="0029325F"/>
    <w:rsid w:val="002973C7"/>
    <w:rsid w:val="002A0AD9"/>
    <w:rsid w:val="002B6065"/>
    <w:rsid w:val="002C07EC"/>
    <w:rsid w:val="002C2BCB"/>
    <w:rsid w:val="002C336F"/>
    <w:rsid w:val="002C492D"/>
    <w:rsid w:val="002D6B42"/>
    <w:rsid w:val="00314446"/>
    <w:rsid w:val="00314E86"/>
    <w:rsid w:val="003155B9"/>
    <w:rsid w:val="00321A69"/>
    <w:rsid w:val="003253C0"/>
    <w:rsid w:val="00337846"/>
    <w:rsid w:val="00337BC1"/>
    <w:rsid w:val="00350B9B"/>
    <w:rsid w:val="00356706"/>
    <w:rsid w:val="003632DF"/>
    <w:rsid w:val="00365A6D"/>
    <w:rsid w:val="003670B4"/>
    <w:rsid w:val="00376FAE"/>
    <w:rsid w:val="00380364"/>
    <w:rsid w:val="00381492"/>
    <w:rsid w:val="00382DB6"/>
    <w:rsid w:val="003B0DAE"/>
    <w:rsid w:val="003B2F5B"/>
    <w:rsid w:val="003C39B0"/>
    <w:rsid w:val="003C7974"/>
    <w:rsid w:val="003D1401"/>
    <w:rsid w:val="003E2574"/>
    <w:rsid w:val="003E5C65"/>
    <w:rsid w:val="00415D63"/>
    <w:rsid w:val="00421D8E"/>
    <w:rsid w:val="00424321"/>
    <w:rsid w:val="0043191C"/>
    <w:rsid w:val="004331B7"/>
    <w:rsid w:val="00440317"/>
    <w:rsid w:val="00462621"/>
    <w:rsid w:val="00476F14"/>
    <w:rsid w:val="004960AE"/>
    <w:rsid w:val="004B5F3C"/>
    <w:rsid w:val="004B7F59"/>
    <w:rsid w:val="004D4154"/>
    <w:rsid w:val="004E229E"/>
    <w:rsid w:val="004F08A3"/>
    <w:rsid w:val="00505135"/>
    <w:rsid w:val="00507D6F"/>
    <w:rsid w:val="00511DB6"/>
    <w:rsid w:val="00544EF6"/>
    <w:rsid w:val="005460FD"/>
    <w:rsid w:val="00560612"/>
    <w:rsid w:val="0057642C"/>
    <w:rsid w:val="00592606"/>
    <w:rsid w:val="00597803"/>
    <w:rsid w:val="005A00DC"/>
    <w:rsid w:val="005B0A71"/>
    <w:rsid w:val="005B6FDC"/>
    <w:rsid w:val="005C5028"/>
    <w:rsid w:val="005D2378"/>
    <w:rsid w:val="005E337A"/>
    <w:rsid w:val="005E50F9"/>
    <w:rsid w:val="005E5CD1"/>
    <w:rsid w:val="00602BD1"/>
    <w:rsid w:val="00621BF4"/>
    <w:rsid w:val="006246CA"/>
    <w:rsid w:val="00632303"/>
    <w:rsid w:val="00654156"/>
    <w:rsid w:val="00663008"/>
    <w:rsid w:val="00684A59"/>
    <w:rsid w:val="00691C12"/>
    <w:rsid w:val="006A6B0A"/>
    <w:rsid w:val="006B1442"/>
    <w:rsid w:val="006C4E10"/>
    <w:rsid w:val="006C7DF3"/>
    <w:rsid w:val="006D2AF2"/>
    <w:rsid w:val="006D60F3"/>
    <w:rsid w:val="006E4119"/>
    <w:rsid w:val="006F037C"/>
    <w:rsid w:val="007046A0"/>
    <w:rsid w:val="00720FE8"/>
    <w:rsid w:val="00723809"/>
    <w:rsid w:val="0072530E"/>
    <w:rsid w:val="0073727C"/>
    <w:rsid w:val="0075624B"/>
    <w:rsid w:val="007562D4"/>
    <w:rsid w:val="00757A88"/>
    <w:rsid w:val="00765A31"/>
    <w:rsid w:val="00771095"/>
    <w:rsid w:val="00784D86"/>
    <w:rsid w:val="00796BB2"/>
    <w:rsid w:val="007B4D0E"/>
    <w:rsid w:val="007D12FF"/>
    <w:rsid w:val="007E242F"/>
    <w:rsid w:val="00803E0F"/>
    <w:rsid w:val="00811D20"/>
    <w:rsid w:val="00813015"/>
    <w:rsid w:val="00815DC9"/>
    <w:rsid w:val="00817F1A"/>
    <w:rsid w:val="00823390"/>
    <w:rsid w:val="008341A6"/>
    <w:rsid w:val="00846B2F"/>
    <w:rsid w:val="0085623E"/>
    <w:rsid w:val="0085747F"/>
    <w:rsid w:val="00892F9A"/>
    <w:rsid w:val="0089309A"/>
    <w:rsid w:val="00897E36"/>
    <w:rsid w:val="008C20C1"/>
    <w:rsid w:val="008D79FD"/>
    <w:rsid w:val="008E41CA"/>
    <w:rsid w:val="008E73CD"/>
    <w:rsid w:val="008F3C47"/>
    <w:rsid w:val="0091392E"/>
    <w:rsid w:val="00936AA5"/>
    <w:rsid w:val="00945BF3"/>
    <w:rsid w:val="00951C27"/>
    <w:rsid w:val="00953FA3"/>
    <w:rsid w:val="00960B40"/>
    <w:rsid w:val="0097174F"/>
    <w:rsid w:val="00975BA3"/>
    <w:rsid w:val="00997C0C"/>
    <w:rsid w:val="009B47A9"/>
    <w:rsid w:val="009B5CF4"/>
    <w:rsid w:val="009C03EF"/>
    <w:rsid w:val="00A0583C"/>
    <w:rsid w:val="00A06BC1"/>
    <w:rsid w:val="00A105E9"/>
    <w:rsid w:val="00A13E3B"/>
    <w:rsid w:val="00A15FD0"/>
    <w:rsid w:val="00A1673D"/>
    <w:rsid w:val="00A27948"/>
    <w:rsid w:val="00A334FD"/>
    <w:rsid w:val="00A3657D"/>
    <w:rsid w:val="00A41800"/>
    <w:rsid w:val="00A42951"/>
    <w:rsid w:val="00A6249D"/>
    <w:rsid w:val="00A65422"/>
    <w:rsid w:val="00AC5C38"/>
    <w:rsid w:val="00AE5576"/>
    <w:rsid w:val="00AF2A74"/>
    <w:rsid w:val="00AF2EF2"/>
    <w:rsid w:val="00B0042B"/>
    <w:rsid w:val="00B1732B"/>
    <w:rsid w:val="00B3028E"/>
    <w:rsid w:val="00B44DDF"/>
    <w:rsid w:val="00B56AEE"/>
    <w:rsid w:val="00B60800"/>
    <w:rsid w:val="00B64F25"/>
    <w:rsid w:val="00B90117"/>
    <w:rsid w:val="00B90EB5"/>
    <w:rsid w:val="00B92450"/>
    <w:rsid w:val="00B9747B"/>
    <w:rsid w:val="00BA7579"/>
    <w:rsid w:val="00BB0D78"/>
    <w:rsid w:val="00BB421E"/>
    <w:rsid w:val="00BB74D4"/>
    <w:rsid w:val="00BF08EA"/>
    <w:rsid w:val="00BF117F"/>
    <w:rsid w:val="00C00BB2"/>
    <w:rsid w:val="00C03D84"/>
    <w:rsid w:val="00C042CE"/>
    <w:rsid w:val="00C05271"/>
    <w:rsid w:val="00C05EEB"/>
    <w:rsid w:val="00C1374B"/>
    <w:rsid w:val="00C22F9B"/>
    <w:rsid w:val="00C32C8B"/>
    <w:rsid w:val="00C47133"/>
    <w:rsid w:val="00C5070B"/>
    <w:rsid w:val="00C62E00"/>
    <w:rsid w:val="00C64D70"/>
    <w:rsid w:val="00C660A1"/>
    <w:rsid w:val="00C66C73"/>
    <w:rsid w:val="00C81009"/>
    <w:rsid w:val="00C82DB7"/>
    <w:rsid w:val="00C85054"/>
    <w:rsid w:val="00C85FEC"/>
    <w:rsid w:val="00C87FDA"/>
    <w:rsid w:val="00C9519F"/>
    <w:rsid w:val="00C95A91"/>
    <w:rsid w:val="00CA7761"/>
    <w:rsid w:val="00CB3709"/>
    <w:rsid w:val="00CB3739"/>
    <w:rsid w:val="00CC1309"/>
    <w:rsid w:val="00CD04D5"/>
    <w:rsid w:val="00CD7A09"/>
    <w:rsid w:val="00CF4ED6"/>
    <w:rsid w:val="00D0304A"/>
    <w:rsid w:val="00D05292"/>
    <w:rsid w:val="00D20C43"/>
    <w:rsid w:val="00D2537F"/>
    <w:rsid w:val="00D374F3"/>
    <w:rsid w:val="00D54832"/>
    <w:rsid w:val="00D62675"/>
    <w:rsid w:val="00D666BF"/>
    <w:rsid w:val="00D73F83"/>
    <w:rsid w:val="00D75907"/>
    <w:rsid w:val="00D7757C"/>
    <w:rsid w:val="00D918D2"/>
    <w:rsid w:val="00DB44D2"/>
    <w:rsid w:val="00DB490B"/>
    <w:rsid w:val="00DC204D"/>
    <w:rsid w:val="00DC388B"/>
    <w:rsid w:val="00DC4705"/>
    <w:rsid w:val="00DE4DF7"/>
    <w:rsid w:val="00DE5057"/>
    <w:rsid w:val="00DF15B5"/>
    <w:rsid w:val="00DF424F"/>
    <w:rsid w:val="00E0128B"/>
    <w:rsid w:val="00E023DD"/>
    <w:rsid w:val="00E034D9"/>
    <w:rsid w:val="00E07705"/>
    <w:rsid w:val="00E116A5"/>
    <w:rsid w:val="00E22A9F"/>
    <w:rsid w:val="00E50AD8"/>
    <w:rsid w:val="00E6244D"/>
    <w:rsid w:val="00E72A02"/>
    <w:rsid w:val="00E72C4B"/>
    <w:rsid w:val="00E7797A"/>
    <w:rsid w:val="00E9037C"/>
    <w:rsid w:val="00EC059C"/>
    <w:rsid w:val="00EC2DDE"/>
    <w:rsid w:val="00EC5858"/>
    <w:rsid w:val="00EC6CD6"/>
    <w:rsid w:val="00ED2FFC"/>
    <w:rsid w:val="00EE7922"/>
    <w:rsid w:val="00EF140F"/>
    <w:rsid w:val="00EF305F"/>
    <w:rsid w:val="00EF69F1"/>
    <w:rsid w:val="00F06C71"/>
    <w:rsid w:val="00F10B39"/>
    <w:rsid w:val="00F149ED"/>
    <w:rsid w:val="00F21AC2"/>
    <w:rsid w:val="00F33214"/>
    <w:rsid w:val="00F44C96"/>
    <w:rsid w:val="00F61AE8"/>
    <w:rsid w:val="00F631B8"/>
    <w:rsid w:val="00F72536"/>
    <w:rsid w:val="00F765BB"/>
    <w:rsid w:val="00F76CC9"/>
    <w:rsid w:val="00FB6336"/>
    <w:rsid w:val="00FC0252"/>
    <w:rsid w:val="00FC13E4"/>
    <w:rsid w:val="00FC5E10"/>
    <w:rsid w:val="00FC7613"/>
    <w:rsid w:val="00FD793B"/>
    <w:rsid w:val="00FE19A8"/>
    <w:rsid w:val="00FE496D"/>
    <w:rsid w:val="00FE6D61"/>
    <w:rsid w:val="00FF2818"/>
    <w:rsid w:val="00FF3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160FE"/>
  <w15:chartTrackingRefBased/>
  <w15:docId w15:val="{E340AEFE-DF17-469A-A5F5-5F74F748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E337A"/>
    <w:pPr>
      <w:spacing w:after="0" w:line="240" w:lineRule="auto"/>
      <w:jc w:val="both"/>
    </w:pPr>
    <w:rPr>
      <w:rFonts w:ascii="Verdana" w:hAnsi="Verdana" w:cs="Calibri"/>
      <w:color w:val="040336" w:themeColor="text1"/>
      <w:sz w:val="20"/>
      <w:szCs w:val="20"/>
      <w:lang w:val="en-GB"/>
    </w:rPr>
  </w:style>
  <w:style w:type="paragraph" w:styleId="berschrift1">
    <w:name w:val="heading 1"/>
    <w:basedOn w:val="Standard"/>
    <w:link w:val="berschrift1Zchn"/>
    <w:uiPriority w:val="9"/>
    <w:qFormat/>
    <w:rsid w:val="004960AE"/>
    <w:pPr>
      <w:numPr>
        <w:numId w:val="39"/>
      </w:numPr>
      <w:spacing w:before="240" w:after="240"/>
      <w:ind w:left="0" w:hanging="567"/>
      <w:outlineLvl w:val="0"/>
    </w:pPr>
    <w:rPr>
      <w:rFonts w:eastAsia="Times New Roman"/>
      <w:b/>
      <w:bCs/>
      <w:color w:val="3F83BF" w:themeColor="accent1"/>
      <w:kern w:val="36"/>
      <w:sz w:val="28"/>
      <w:szCs w:val="28"/>
    </w:rPr>
  </w:style>
  <w:style w:type="paragraph" w:styleId="berschrift2">
    <w:name w:val="heading 2"/>
    <w:basedOn w:val="berschrift1"/>
    <w:link w:val="berschrift2Zchn"/>
    <w:uiPriority w:val="9"/>
    <w:qFormat/>
    <w:rsid w:val="003670B4"/>
    <w:pPr>
      <w:numPr>
        <w:ilvl w:val="1"/>
      </w:numPr>
      <w:ind w:left="431" w:hanging="431"/>
      <w:outlineLvl w:val="1"/>
    </w:pPr>
    <w:rPr>
      <w:color w:val="24A65C" w:themeColor="accent4"/>
      <w:sz w:val="24"/>
      <w:szCs w:val="24"/>
    </w:rPr>
  </w:style>
  <w:style w:type="paragraph" w:styleId="berschrift3">
    <w:name w:val="heading 3"/>
    <w:basedOn w:val="berschrift2"/>
    <w:link w:val="berschrift3Zchn"/>
    <w:uiPriority w:val="9"/>
    <w:qFormat/>
    <w:rsid w:val="003670B4"/>
    <w:pPr>
      <w:numPr>
        <w:ilvl w:val="2"/>
      </w:numPr>
      <w:ind w:left="505" w:hanging="505"/>
      <w:outlineLvl w:val="2"/>
    </w:pPr>
    <w:rPr>
      <w:noProof/>
      <w:color w:val="040336"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60AE"/>
    <w:rPr>
      <w:rFonts w:ascii="Verdana" w:eastAsia="Times New Roman" w:hAnsi="Verdana" w:cs="Calibri"/>
      <w:b/>
      <w:bCs/>
      <w:color w:val="3F83BF" w:themeColor="accent1"/>
      <w:kern w:val="36"/>
      <w:sz w:val="28"/>
      <w:szCs w:val="28"/>
      <w:lang w:val="en-GB"/>
    </w:rPr>
  </w:style>
  <w:style w:type="character" w:customStyle="1" w:styleId="berschrift2Zchn">
    <w:name w:val="Überschrift 2 Zchn"/>
    <w:basedOn w:val="Absatz-Standardschriftart"/>
    <w:link w:val="berschrift2"/>
    <w:uiPriority w:val="9"/>
    <w:rsid w:val="003670B4"/>
    <w:rPr>
      <w:rFonts w:ascii="Verdana" w:eastAsia="Times New Roman" w:hAnsi="Verdana" w:cs="Calibri"/>
      <w:b/>
      <w:bCs/>
      <w:color w:val="24A65C" w:themeColor="accent4"/>
      <w:kern w:val="36"/>
      <w:sz w:val="24"/>
      <w:szCs w:val="24"/>
      <w:lang w:val="en-GB"/>
    </w:rPr>
  </w:style>
  <w:style w:type="character" w:customStyle="1" w:styleId="berschrift3Zchn">
    <w:name w:val="Überschrift 3 Zchn"/>
    <w:basedOn w:val="Absatz-Standardschriftart"/>
    <w:link w:val="berschrift3"/>
    <w:uiPriority w:val="9"/>
    <w:rsid w:val="003670B4"/>
    <w:rPr>
      <w:rFonts w:ascii="Verdana" w:eastAsia="Times New Roman" w:hAnsi="Verdana" w:cs="Calibri"/>
      <w:b/>
      <w:bCs/>
      <w:noProof/>
      <w:color w:val="040336" w:themeColor="text1"/>
      <w:kern w:val="36"/>
      <w:sz w:val="20"/>
      <w:szCs w:val="20"/>
      <w:lang w:val="en-GB"/>
    </w:rPr>
  </w:style>
  <w:style w:type="paragraph" w:customStyle="1" w:styleId="msonormal0">
    <w:name w:val="msonormal"/>
    <w:basedOn w:val="Standard"/>
    <w:rsid w:val="00121212"/>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unhideWhenUsed/>
    <w:rsid w:val="00121212"/>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121212"/>
    <w:rPr>
      <w:color w:val="0000FF"/>
      <w:u w:val="single"/>
    </w:rPr>
  </w:style>
  <w:style w:type="character" w:styleId="BesuchterLink">
    <w:name w:val="FollowedHyperlink"/>
    <w:basedOn w:val="Absatz-Standardschriftart"/>
    <w:uiPriority w:val="99"/>
    <w:semiHidden/>
    <w:unhideWhenUsed/>
    <w:rsid w:val="00121212"/>
    <w:rPr>
      <w:color w:val="800080"/>
      <w:u w:val="single"/>
    </w:rPr>
  </w:style>
  <w:style w:type="character" w:customStyle="1" w:styleId="aui-icon">
    <w:name w:val="aui-icon"/>
    <w:basedOn w:val="Absatz-Standardschriftart"/>
    <w:rsid w:val="00121212"/>
  </w:style>
  <w:style w:type="character" w:customStyle="1" w:styleId="confluence-embedded-file-wrapper">
    <w:name w:val="confluence-embedded-file-wrapper"/>
    <w:basedOn w:val="Absatz-Standardschriftart"/>
    <w:rsid w:val="00121212"/>
  </w:style>
  <w:style w:type="character" w:styleId="Fett">
    <w:name w:val="Strong"/>
    <w:basedOn w:val="Absatz-Standardschriftart"/>
    <w:uiPriority w:val="22"/>
    <w:rsid w:val="00121212"/>
    <w:rPr>
      <w:b/>
      <w:bCs/>
    </w:rPr>
  </w:style>
  <w:style w:type="character" w:customStyle="1" w:styleId="jira-issue">
    <w:name w:val="jira-issue"/>
    <w:basedOn w:val="Absatz-Standardschriftart"/>
    <w:rsid w:val="00121212"/>
  </w:style>
  <w:style w:type="character" w:customStyle="1" w:styleId="summary">
    <w:name w:val="summary"/>
    <w:basedOn w:val="Absatz-Standardschriftart"/>
    <w:rsid w:val="00121212"/>
  </w:style>
  <w:style w:type="character" w:customStyle="1" w:styleId="aui-lozenge">
    <w:name w:val="aui-lozenge"/>
    <w:basedOn w:val="Absatz-Standardschriftart"/>
    <w:rsid w:val="00121212"/>
  </w:style>
  <w:style w:type="paragraph" w:customStyle="1" w:styleId="Title1">
    <w:name w:val="Title1"/>
    <w:basedOn w:val="Standard"/>
    <w:rsid w:val="00121212"/>
    <w:pPr>
      <w:spacing w:before="100" w:beforeAutospacing="1" w:after="100" w:afterAutospacing="1"/>
    </w:pPr>
    <w:rPr>
      <w:rFonts w:ascii="Times New Roman" w:eastAsia="Times New Roman" w:hAnsi="Times New Roman" w:cs="Times New Roman"/>
    </w:rPr>
  </w:style>
  <w:style w:type="paragraph" w:customStyle="1" w:styleId="auto-cursor-target">
    <w:name w:val="auto-cursor-target"/>
    <w:basedOn w:val="Standard"/>
    <w:rsid w:val="00121212"/>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rsid w:val="00121212"/>
    <w:rPr>
      <w:i/>
      <w:iCs/>
    </w:rPr>
  </w:style>
  <w:style w:type="character" w:customStyle="1" w:styleId="pluginpagetreechildrenspan">
    <w:name w:val="plugin_pagetree_children_span"/>
    <w:basedOn w:val="Absatz-Standardschriftart"/>
    <w:rsid w:val="00121212"/>
  </w:style>
  <w:style w:type="paragraph" w:customStyle="1" w:styleId="1ig2k9i02vqbyvlz7nfzt">
    <w:name w:val="_1ig2k9i02vqbyvlz7nf_zt"/>
    <w:basedOn w:val="Standard"/>
    <w:rsid w:val="00121212"/>
    <w:pPr>
      <w:spacing w:before="100" w:beforeAutospacing="1" w:after="100" w:afterAutospacing="1"/>
    </w:pPr>
    <w:rPr>
      <w:rFonts w:ascii="Times New Roman" w:eastAsia="Times New Roman" w:hAnsi="Times New Roman" w:cs="Times New Roman"/>
    </w:rPr>
  </w:style>
  <w:style w:type="paragraph" w:styleId="HTMLVorformatiert">
    <w:name w:val="HTML Preformatted"/>
    <w:basedOn w:val="Standard"/>
    <w:link w:val="HTMLVorformatiertZchn"/>
    <w:uiPriority w:val="99"/>
    <w:semiHidden/>
    <w:unhideWhenUsed/>
    <w:rsid w:val="00121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VorformatiertZchn">
    <w:name w:val="HTML Vorformatiert Zchn"/>
    <w:basedOn w:val="Absatz-Standardschriftart"/>
    <w:link w:val="HTMLVorformatiert"/>
    <w:uiPriority w:val="99"/>
    <w:semiHidden/>
    <w:rsid w:val="00121212"/>
    <w:rPr>
      <w:rFonts w:ascii="Courier New" w:eastAsia="Times New Roman" w:hAnsi="Courier New" w:cs="Courier New"/>
      <w:sz w:val="20"/>
      <w:szCs w:val="20"/>
    </w:rPr>
  </w:style>
  <w:style w:type="character" w:styleId="HTMLCode">
    <w:name w:val="HTML Code"/>
    <w:basedOn w:val="Absatz-Standardschriftart"/>
    <w:uiPriority w:val="99"/>
    <w:semiHidden/>
    <w:unhideWhenUsed/>
    <w:rsid w:val="00121212"/>
    <w:rPr>
      <w:rFonts w:ascii="Courier New" w:eastAsia="Times New Roman" w:hAnsi="Courier New" w:cs="Courier New"/>
      <w:sz w:val="20"/>
      <w:szCs w:val="20"/>
    </w:rPr>
  </w:style>
  <w:style w:type="character" w:customStyle="1" w:styleId="token">
    <w:name w:val="token"/>
    <w:basedOn w:val="Absatz-Standardschriftart"/>
    <w:rsid w:val="00121212"/>
  </w:style>
  <w:style w:type="paragraph" w:styleId="Listenabsatz">
    <w:name w:val="List Paragraph"/>
    <w:basedOn w:val="Standard"/>
    <w:uiPriority w:val="34"/>
    <w:rsid w:val="00DB44D2"/>
    <w:pPr>
      <w:ind w:left="720"/>
      <w:contextualSpacing/>
    </w:pPr>
  </w:style>
  <w:style w:type="paragraph" w:styleId="Inhaltsverzeichnisberschrift">
    <w:name w:val="TOC Heading"/>
    <w:basedOn w:val="berschrift1"/>
    <w:next w:val="Standard"/>
    <w:uiPriority w:val="39"/>
    <w:unhideWhenUsed/>
    <w:rsid w:val="00A105E9"/>
    <w:pPr>
      <w:keepNext/>
      <w:keepLines/>
      <w:spacing w:after="0" w:line="259" w:lineRule="auto"/>
      <w:outlineLvl w:val="9"/>
    </w:pPr>
    <w:rPr>
      <w:rFonts w:asciiTheme="majorHAnsi" w:eastAsiaTheme="majorEastAsia" w:hAnsiTheme="majorHAnsi" w:cstheme="majorBidi"/>
      <w:b w:val="0"/>
      <w:bCs w:val="0"/>
      <w:color w:val="2F618E" w:themeColor="accent1" w:themeShade="BF"/>
      <w:kern w:val="0"/>
    </w:rPr>
  </w:style>
  <w:style w:type="paragraph" w:styleId="Verzeichnis1">
    <w:name w:val="toc 1"/>
    <w:basedOn w:val="Standard"/>
    <w:next w:val="Standard"/>
    <w:autoRedefine/>
    <w:uiPriority w:val="39"/>
    <w:unhideWhenUsed/>
    <w:rsid w:val="00A65422"/>
    <w:pPr>
      <w:tabs>
        <w:tab w:val="left" w:pos="440"/>
        <w:tab w:val="right" w:leader="dot" w:pos="9016"/>
      </w:tabs>
      <w:spacing w:after="100"/>
    </w:pPr>
    <w:rPr>
      <w:noProof/>
    </w:rPr>
  </w:style>
  <w:style w:type="paragraph" w:styleId="Verzeichnis2">
    <w:name w:val="toc 2"/>
    <w:basedOn w:val="Standard"/>
    <w:next w:val="Standard"/>
    <w:autoRedefine/>
    <w:uiPriority w:val="39"/>
    <w:unhideWhenUsed/>
    <w:rsid w:val="00002003"/>
    <w:pPr>
      <w:tabs>
        <w:tab w:val="left" w:pos="880"/>
        <w:tab w:val="right" w:leader="dot" w:pos="9350"/>
      </w:tabs>
      <w:spacing w:after="100"/>
      <w:ind w:left="220"/>
    </w:pPr>
    <w:rPr>
      <w:noProof/>
    </w:rPr>
  </w:style>
  <w:style w:type="paragraph" w:styleId="Verzeichnis3">
    <w:name w:val="toc 3"/>
    <w:basedOn w:val="Standard"/>
    <w:next w:val="Standard"/>
    <w:autoRedefine/>
    <w:uiPriority w:val="39"/>
    <w:unhideWhenUsed/>
    <w:rsid w:val="00002003"/>
    <w:pPr>
      <w:spacing w:after="100"/>
      <w:ind w:left="440"/>
    </w:pPr>
  </w:style>
  <w:style w:type="paragraph" w:styleId="Kopfzeile">
    <w:name w:val="header"/>
    <w:basedOn w:val="Standard"/>
    <w:link w:val="KopfzeileZchn"/>
    <w:uiPriority w:val="99"/>
    <w:unhideWhenUsed/>
    <w:rsid w:val="00DF15B5"/>
    <w:pPr>
      <w:tabs>
        <w:tab w:val="center" w:pos="4680"/>
        <w:tab w:val="right" w:pos="9360"/>
      </w:tabs>
    </w:pPr>
  </w:style>
  <w:style w:type="character" w:customStyle="1" w:styleId="KopfzeileZchn">
    <w:name w:val="Kopfzeile Zchn"/>
    <w:basedOn w:val="Absatz-Standardschriftart"/>
    <w:link w:val="Kopfzeile"/>
    <w:uiPriority w:val="99"/>
    <w:rsid w:val="00DF15B5"/>
    <w:rPr>
      <w:rFonts w:ascii="Avenir Next LT Pro" w:hAnsi="Avenir Next LT Pro"/>
      <w:sz w:val="24"/>
      <w:szCs w:val="24"/>
    </w:rPr>
  </w:style>
  <w:style w:type="paragraph" w:styleId="Fuzeile">
    <w:name w:val="footer"/>
    <w:basedOn w:val="Standard"/>
    <w:link w:val="FuzeileZchn"/>
    <w:uiPriority w:val="99"/>
    <w:unhideWhenUsed/>
    <w:rsid w:val="00DF15B5"/>
    <w:pPr>
      <w:tabs>
        <w:tab w:val="center" w:pos="4680"/>
        <w:tab w:val="right" w:pos="9360"/>
      </w:tabs>
    </w:pPr>
  </w:style>
  <w:style w:type="character" w:customStyle="1" w:styleId="FuzeileZchn">
    <w:name w:val="Fußzeile Zchn"/>
    <w:basedOn w:val="Absatz-Standardschriftart"/>
    <w:link w:val="Fuzeile"/>
    <w:uiPriority w:val="99"/>
    <w:rsid w:val="00DF15B5"/>
    <w:rPr>
      <w:rFonts w:ascii="Avenir Next LT Pro" w:hAnsi="Avenir Next LT Pro"/>
      <w:sz w:val="24"/>
      <w:szCs w:val="24"/>
    </w:rPr>
  </w:style>
  <w:style w:type="character" w:styleId="NichtaufgelsteErwhnung">
    <w:name w:val="Unresolved Mention"/>
    <w:basedOn w:val="Absatz-Standardschriftart"/>
    <w:uiPriority w:val="99"/>
    <w:semiHidden/>
    <w:unhideWhenUsed/>
    <w:rsid w:val="003B0DAE"/>
    <w:rPr>
      <w:color w:val="605E5C"/>
      <w:shd w:val="clear" w:color="auto" w:fill="E1DFDD"/>
    </w:rPr>
  </w:style>
  <w:style w:type="table" w:styleId="Tabellenraster">
    <w:name w:val="Table Grid"/>
    <w:basedOn w:val="NormaleTabelle"/>
    <w:uiPriority w:val="39"/>
    <w:rsid w:val="00424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5E337A"/>
    <w:pPr>
      <w:ind w:firstLine="720"/>
      <w:contextualSpacing/>
    </w:pPr>
    <w:rPr>
      <w:rFonts w:eastAsiaTheme="majorEastAsia"/>
      <w:b/>
      <w:bCs/>
      <w:color w:val="FFFFFF" w:themeColor="background1"/>
      <w:spacing w:val="-10"/>
      <w:kern w:val="28"/>
      <w:sz w:val="50"/>
      <w:szCs w:val="50"/>
    </w:rPr>
  </w:style>
  <w:style w:type="character" w:customStyle="1" w:styleId="TitelZchn">
    <w:name w:val="Titel Zchn"/>
    <w:basedOn w:val="Absatz-Standardschriftart"/>
    <w:link w:val="Titel"/>
    <w:uiPriority w:val="10"/>
    <w:rsid w:val="005E337A"/>
    <w:rPr>
      <w:rFonts w:ascii="Verdana" w:eastAsiaTheme="majorEastAsia" w:hAnsi="Verdana" w:cs="Calibri"/>
      <w:b/>
      <w:bCs/>
      <w:color w:val="FFFFFF" w:themeColor="background1"/>
      <w:spacing w:val="-10"/>
      <w:kern w:val="28"/>
      <w:sz w:val="50"/>
      <w:szCs w:val="50"/>
      <w:lang w:val="en-GB"/>
    </w:rPr>
  </w:style>
  <w:style w:type="paragraph" w:styleId="KeinLeerraum">
    <w:name w:val="No Spacing"/>
    <w:uiPriority w:val="1"/>
    <w:rsid w:val="00A334FD"/>
    <w:pPr>
      <w:spacing w:after="0" w:line="240" w:lineRule="auto"/>
    </w:pPr>
    <w:rPr>
      <w:rFonts w:ascii="Avenir Next LT Pro" w:hAnsi="Avenir Next LT Pro"/>
      <w:sz w:val="24"/>
      <w:szCs w:val="24"/>
    </w:rPr>
  </w:style>
  <w:style w:type="paragraph" w:customStyle="1" w:styleId="paragraph">
    <w:name w:val="paragraph"/>
    <w:basedOn w:val="Standard"/>
    <w:rsid w:val="00382DB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Absatz-Standardschriftart"/>
    <w:rsid w:val="00382DB6"/>
  </w:style>
  <w:style w:type="character" w:customStyle="1" w:styleId="eop">
    <w:name w:val="eop"/>
    <w:basedOn w:val="Absatz-Standardschriftart"/>
    <w:rsid w:val="00382DB6"/>
  </w:style>
  <w:style w:type="character" w:customStyle="1" w:styleId="link-external">
    <w:name w:val="link-external"/>
    <w:basedOn w:val="Absatz-Standardschriftart"/>
    <w:rsid w:val="00382DB6"/>
  </w:style>
  <w:style w:type="paragraph" w:styleId="Beschriftung">
    <w:name w:val="caption"/>
    <w:basedOn w:val="Standard"/>
    <w:next w:val="Standard"/>
    <w:uiPriority w:val="35"/>
    <w:unhideWhenUsed/>
    <w:qFormat/>
    <w:rsid w:val="00376FAE"/>
    <w:pPr>
      <w:spacing w:after="200"/>
    </w:pPr>
    <w:rPr>
      <w:i/>
      <w:iCs/>
      <w:sz w:val="18"/>
      <w:szCs w:val="18"/>
    </w:rPr>
  </w:style>
  <w:style w:type="paragraph" w:styleId="Untertitel">
    <w:name w:val="Subtitle"/>
    <w:basedOn w:val="Standard"/>
    <w:next w:val="Standard"/>
    <w:link w:val="UntertitelZchn"/>
    <w:uiPriority w:val="11"/>
    <w:qFormat/>
    <w:rsid w:val="005E337A"/>
    <w:pPr>
      <w:spacing w:before="100"/>
      <w:ind w:firstLine="720"/>
    </w:pPr>
    <w:rPr>
      <w:color w:val="FFFFFF" w:themeColor="accent5"/>
      <w:sz w:val="30"/>
      <w:szCs w:val="30"/>
    </w:rPr>
  </w:style>
  <w:style w:type="character" w:customStyle="1" w:styleId="UntertitelZchn">
    <w:name w:val="Untertitel Zchn"/>
    <w:basedOn w:val="Absatz-Standardschriftart"/>
    <w:link w:val="Untertitel"/>
    <w:uiPriority w:val="11"/>
    <w:rsid w:val="005E337A"/>
    <w:rPr>
      <w:rFonts w:ascii="Verdana" w:hAnsi="Verdana" w:cs="Calibri"/>
      <w:color w:val="FFFFFF" w:themeColor="accent5"/>
      <w:sz w:val="30"/>
      <w:szCs w:val="30"/>
      <w:lang w:val="en-GB"/>
    </w:rPr>
  </w:style>
  <w:style w:type="paragraph" w:customStyle="1" w:styleId="DocDate">
    <w:name w:val="DocDate"/>
    <w:basedOn w:val="Standard"/>
    <w:rsid w:val="006A6B0A"/>
    <w:pPr>
      <w:keepLines/>
      <w:widowControl w:val="0"/>
      <w:suppressAutoHyphens/>
      <w:spacing w:before="120" w:after="120" w:line="276" w:lineRule="auto"/>
    </w:pPr>
    <w:rPr>
      <w:rFonts w:eastAsia="Times New Roman"/>
      <w:b/>
      <w:color w:val="auto"/>
      <w:sz w:val="22"/>
      <w:szCs w:val="22"/>
      <w:lang w:eastAsia="es-ES_tradnl"/>
    </w:rPr>
  </w:style>
  <w:style w:type="table" w:customStyle="1" w:styleId="Cuadrculadetablaclara1">
    <w:name w:val="Cuadrícula de tabla clara1"/>
    <w:basedOn w:val="NormaleTabelle"/>
    <w:uiPriority w:val="40"/>
    <w:rsid w:val="006A6B0A"/>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ontitlepage">
    <w:name w:val="_Table text on title page"/>
    <w:basedOn w:val="Standard"/>
    <w:rsid w:val="006A6B0A"/>
    <w:pPr>
      <w:suppressAutoHyphens/>
      <w:spacing w:before="20" w:after="20" w:line="276" w:lineRule="auto"/>
    </w:pPr>
    <w:rPr>
      <w:rFonts w:ascii="Arial Narrow" w:eastAsia="Times New Roman" w:hAnsi="Arial Narrow" w:cs="Times New Roman"/>
      <w:color w:val="auto"/>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3439">
      <w:bodyDiv w:val="1"/>
      <w:marLeft w:val="0"/>
      <w:marRight w:val="0"/>
      <w:marTop w:val="0"/>
      <w:marBottom w:val="0"/>
      <w:divBdr>
        <w:top w:val="none" w:sz="0" w:space="0" w:color="auto"/>
        <w:left w:val="none" w:sz="0" w:space="0" w:color="auto"/>
        <w:bottom w:val="none" w:sz="0" w:space="0" w:color="auto"/>
        <w:right w:val="none" w:sz="0" w:space="0" w:color="auto"/>
      </w:divBdr>
    </w:div>
    <w:div w:id="64645537">
      <w:bodyDiv w:val="1"/>
      <w:marLeft w:val="0"/>
      <w:marRight w:val="0"/>
      <w:marTop w:val="0"/>
      <w:marBottom w:val="0"/>
      <w:divBdr>
        <w:top w:val="none" w:sz="0" w:space="0" w:color="auto"/>
        <w:left w:val="none" w:sz="0" w:space="0" w:color="auto"/>
        <w:bottom w:val="none" w:sz="0" w:space="0" w:color="auto"/>
        <w:right w:val="none" w:sz="0" w:space="0" w:color="auto"/>
      </w:divBdr>
      <w:divsChild>
        <w:div w:id="2054691156">
          <w:marLeft w:val="0"/>
          <w:marRight w:val="0"/>
          <w:marTop w:val="150"/>
          <w:marBottom w:val="240"/>
          <w:divBdr>
            <w:top w:val="single" w:sz="6" w:space="8" w:color="AAB8C6"/>
            <w:left w:val="single" w:sz="6" w:space="27" w:color="AAB8C6"/>
            <w:bottom w:val="single" w:sz="6" w:space="8" w:color="AAB8C6"/>
            <w:right w:val="single" w:sz="6" w:space="8" w:color="AAB8C6"/>
          </w:divBdr>
          <w:divsChild>
            <w:div w:id="1363290712">
              <w:marLeft w:val="0"/>
              <w:marRight w:val="0"/>
              <w:marTop w:val="0"/>
              <w:marBottom w:val="0"/>
              <w:divBdr>
                <w:top w:val="none" w:sz="0" w:space="0" w:color="auto"/>
                <w:left w:val="none" w:sz="0" w:space="0" w:color="auto"/>
                <w:bottom w:val="none" w:sz="0" w:space="0" w:color="auto"/>
                <w:right w:val="none" w:sz="0" w:space="0" w:color="auto"/>
              </w:divBdr>
            </w:div>
          </w:divsChild>
        </w:div>
        <w:div w:id="693262041">
          <w:marLeft w:val="0"/>
          <w:marRight w:val="0"/>
          <w:marTop w:val="150"/>
          <w:marBottom w:val="240"/>
          <w:divBdr>
            <w:top w:val="single" w:sz="6" w:space="8" w:color="AAB8C6"/>
            <w:left w:val="single" w:sz="6" w:space="27" w:color="AAB8C6"/>
            <w:bottom w:val="single" w:sz="6" w:space="8" w:color="AAB8C6"/>
            <w:right w:val="single" w:sz="6" w:space="8" w:color="AAB8C6"/>
          </w:divBdr>
          <w:divsChild>
            <w:div w:id="1135177036">
              <w:marLeft w:val="0"/>
              <w:marRight w:val="0"/>
              <w:marTop w:val="0"/>
              <w:marBottom w:val="0"/>
              <w:divBdr>
                <w:top w:val="none" w:sz="0" w:space="0" w:color="auto"/>
                <w:left w:val="none" w:sz="0" w:space="0" w:color="auto"/>
                <w:bottom w:val="none" w:sz="0" w:space="0" w:color="auto"/>
                <w:right w:val="none" w:sz="0" w:space="0" w:color="auto"/>
              </w:divBdr>
            </w:div>
          </w:divsChild>
        </w:div>
        <w:div w:id="1983537416">
          <w:marLeft w:val="0"/>
          <w:marRight w:val="0"/>
          <w:marTop w:val="150"/>
          <w:marBottom w:val="240"/>
          <w:divBdr>
            <w:top w:val="single" w:sz="6" w:space="8" w:color="AAB8C6"/>
            <w:left w:val="single" w:sz="6" w:space="27" w:color="AAB8C6"/>
            <w:bottom w:val="single" w:sz="6" w:space="8" w:color="AAB8C6"/>
            <w:right w:val="single" w:sz="6" w:space="8" w:color="AAB8C6"/>
          </w:divBdr>
          <w:divsChild>
            <w:div w:id="951090705">
              <w:marLeft w:val="0"/>
              <w:marRight w:val="0"/>
              <w:marTop w:val="0"/>
              <w:marBottom w:val="0"/>
              <w:divBdr>
                <w:top w:val="none" w:sz="0" w:space="0" w:color="auto"/>
                <w:left w:val="none" w:sz="0" w:space="0" w:color="auto"/>
                <w:bottom w:val="none" w:sz="0" w:space="0" w:color="auto"/>
                <w:right w:val="none" w:sz="0" w:space="0" w:color="auto"/>
              </w:divBdr>
            </w:div>
          </w:divsChild>
        </w:div>
        <w:div w:id="1401951633">
          <w:marLeft w:val="0"/>
          <w:marRight w:val="0"/>
          <w:marTop w:val="150"/>
          <w:marBottom w:val="0"/>
          <w:divBdr>
            <w:top w:val="none" w:sz="0" w:space="0" w:color="auto"/>
            <w:left w:val="none" w:sz="0" w:space="0" w:color="auto"/>
            <w:bottom w:val="none" w:sz="0" w:space="0" w:color="auto"/>
            <w:right w:val="none" w:sz="0" w:space="0" w:color="auto"/>
          </w:divBdr>
          <w:divsChild>
            <w:div w:id="553732638">
              <w:marLeft w:val="0"/>
              <w:marRight w:val="0"/>
              <w:marTop w:val="0"/>
              <w:marBottom w:val="0"/>
              <w:divBdr>
                <w:top w:val="none" w:sz="0" w:space="0" w:color="auto"/>
                <w:left w:val="none" w:sz="0" w:space="0" w:color="auto"/>
                <w:bottom w:val="none" w:sz="0" w:space="0" w:color="auto"/>
                <w:right w:val="none" w:sz="0" w:space="0" w:color="auto"/>
              </w:divBdr>
            </w:div>
            <w:div w:id="2123722791">
              <w:marLeft w:val="0"/>
              <w:marRight w:val="0"/>
              <w:marTop w:val="0"/>
              <w:marBottom w:val="0"/>
              <w:divBdr>
                <w:top w:val="none" w:sz="0" w:space="0" w:color="auto"/>
                <w:left w:val="none" w:sz="0" w:space="0" w:color="auto"/>
                <w:bottom w:val="none" w:sz="0" w:space="0" w:color="auto"/>
                <w:right w:val="none" w:sz="0" w:space="0" w:color="auto"/>
              </w:divBdr>
            </w:div>
            <w:div w:id="519315019">
              <w:marLeft w:val="0"/>
              <w:marRight w:val="0"/>
              <w:marTop w:val="0"/>
              <w:marBottom w:val="0"/>
              <w:divBdr>
                <w:top w:val="none" w:sz="0" w:space="0" w:color="auto"/>
                <w:left w:val="none" w:sz="0" w:space="0" w:color="auto"/>
                <w:bottom w:val="none" w:sz="0" w:space="0" w:color="auto"/>
                <w:right w:val="none" w:sz="0" w:space="0" w:color="auto"/>
              </w:divBdr>
            </w:div>
            <w:div w:id="937718857">
              <w:marLeft w:val="0"/>
              <w:marRight w:val="0"/>
              <w:marTop w:val="0"/>
              <w:marBottom w:val="0"/>
              <w:divBdr>
                <w:top w:val="none" w:sz="0" w:space="0" w:color="auto"/>
                <w:left w:val="none" w:sz="0" w:space="0" w:color="auto"/>
                <w:bottom w:val="none" w:sz="0" w:space="0" w:color="auto"/>
                <w:right w:val="none" w:sz="0" w:space="0" w:color="auto"/>
              </w:divBdr>
            </w:div>
            <w:div w:id="834996006">
              <w:marLeft w:val="0"/>
              <w:marRight w:val="0"/>
              <w:marTop w:val="0"/>
              <w:marBottom w:val="0"/>
              <w:divBdr>
                <w:top w:val="none" w:sz="0" w:space="0" w:color="auto"/>
                <w:left w:val="none" w:sz="0" w:space="0" w:color="auto"/>
                <w:bottom w:val="none" w:sz="0" w:space="0" w:color="auto"/>
                <w:right w:val="none" w:sz="0" w:space="0" w:color="auto"/>
              </w:divBdr>
            </w:div>
          </w:divsChild>
        </w:div>
        <w:div w:id="1103647830">
          <w:marLeft w:val="0"/>
          <w:marRight w:val="0"/>
          <w:marTop w:val="150"/>
          <w:marBottom w:val="0"/>
          <w:divBdr>
            <w:top w:val="none" w:sz="0" w:space="0" w:color="auto"/>
            <w:left w:val="none" w:sz="0" w:space="0" w:color="auto"/>
            <w:bottom w:val="none" w:sz="0" w:space="0" w:color="auto"/>
            <w:right w:val="none" w:sz="0" w:space="0" w:color="auto"/>
          </w:divBdr>
          <w:divsChild>
            <w:div w:id="2078892242">
              <w:marLeft w:val="0"/>
              <w:marRight w:val="0"/>
              <w:marTop w:val="0"/>
              <w:marBottom w:val="0"/>
              <w:divBdr>
                <w:top w:val="none" w:sz="0" w:space="0" w:color="auto"/>
                <w:left w:val="none" w:sz="0" w:space="0" w:color="auto"/>
                <w:bottom w:val="none" w:sz="0" w:space="0" w:color="auto"/>
                <w:right w:val="none" w:sz="0" w:space="0" w:color="auto"/>
              </w:divBdr>
            </w:div>
            <w:div w:id="258564724">
              <w:marLeft w:val="0"/>
              <w:marRight w:val="0"/>
              <w:marTop w:val="0"/>
              <w:marBottom w:val="0"/>
              <w:divBdr>
                <w:top w:val="none" w:sz="0" w:space="0" w:color="auto"/>
                <w:left w:val="none" w:sz="0" w:space="0" w:color="auto"/>
                <w:bottom w:val="none" w:sz="0" w:space="0" w:color="auto"/>
                <w:right w:val="none" w:sz="0" w:space="0" w:color="auto"/>
              </w:divBdr>
            </w:div>
            <w:div w:id="723141234">
              <w:marLeft w:val="0"/>
              <w:marRight w:val="0"/>
              <w:marTop w:val="0"/>
              <w:marBottom w:val="0"/>
              <w:divBdr>
                <w:top w:val="none" w:sz="0" w:space="0" w:color="auto"/>
                <w:left w:val="none" w:sz="0" w:space="0" w:color="auto"/>
                <w:bottom w:val="none" w:sz="0" w:space="0" w:color="auto"/>
                <w:right w:val="none" w:sz="0" w:space="0" w:color="auto"/>
              </w:divBdr>
            </w:div>
            <w:div w:id="964891011">
              <w:marLeft w:val="0"/>
              <w:marRight w:val="0"/>
              <w:marTop w:val="0"/>
              <w:marBottom w:val="0"/>
              <w:divBdr>
                <w:top w:val="none" w:sz="0" w:space="0" w:color="auto"/>
                <w:left w:val="none" w:sz="0" w:space="0" w:color="auto"/>
                <w:bottom w:val="none" w:sz="0" w:space="0" w:color="auto"/>
                <w:right w:val="none" w:sz="0" w:space="0" w:color="auto"/>
              </w:divBdr>
            </w:div>
          </w:divsChild>
        </w:div>
        <w:div w:id="1529828009">
          <w:marLeft w:val="0"/>
          <w:marRight w:val="0"/>
          <w:marTop w:val="150"/>
          <w:marBottom w:val="240"/>
          <w:divBdr>
            <w:top w:val="single" w:sz="6" w:space="8" w:color="FFEAAE"/>
            <w:left w:val="single" w:sz="6" w:space="27" w:color="FFEAAE"/>
            <w:bottom w:val="single" w:sz="6" w:space="8" w:color="FFEAAE"/>
            <w:right w:val="single" w:sz="6" w:space="8" w:color="FFEAAE"/>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sChild>
        </w:div>
        <w:div w:id="1038627140">
          <w:marLeft w:val="0"/>
          <w:marRight w:val="0"/>
          <w:marTop w:val="150"/>
          <w:marBottom w:val="240"/>
          <w:divBdr>
            <w:top w:val="single" w:sz="6" w:space="8" w:color="AAB8C6"/>
            <w:left w:val="single" w:sz="6" w:space="27" w:color="AAB8C6"/>
            <w:bottom w:val="single" w:sz="6" w:space="8" w:color="AAB8C6"/>
            <w:right w:val="single" w:sz="6" w:space="8" w:color="AAB8C6"/>
          </w:divBdr>
          <w:divsChild>
            <w:div w:id="1293828172">
              <w:marLeft w:val="0"/>
              <w:marRight w:val="0"/>
              <w:marTop w:val="0"/>
              <w:marBottom w:val="0"/>
              <w:divBdr>
                <w:top w:val="none" w:sz="0" w:space="0" w:color="auto"/>
                <w:left w:val="none" w:sz="0" w:space="0" w:color="auto"/>
                <w:bottom w:val="none" w:sz="0" w:space="0" w:color="auto"/>
                <w:right w:val="none" w:sz="0" w:space="0" w:color="auto"/>
              </w:divBdr>
            </w:div>
          </w:divsChild>
        </w:div>
        <w:div w:id="1797720378">
          <w:marLeft w:val="0"/>
          <w:marRight w:val="0"/>
          <w:marTop w:val="150"/>
          <w:marBottom w:val="240"/>
          <w:divBdr>
            <w:top w:val="single" w:sz="6" w:space="8" w:color="FFEAAE"/>
            <w:left w:val="single" w:sz="6" w:space="27" w:color="FFEAAE"/>
            <w:bottom w:val="single" w:sz="6" w:space="8" w:color="FFEAAE"/>
            <w:right w:val="single" w:sz="6" w:space="8" w:color="FFEAAE"/>
          </w:divBdr>
          <w:divsChild>
            <w:div w:id="391853886">
              <w:marLeft w:val="0"/>
              <w:marRight w:val="0"/>
              <w:marTop w:val="0"/>
              <w:marBottom w:val="0"/>
              <w:divBdr>
                <w:top w:val="none" w:sz="0" w:space="0" w:color="auto"/>
                <w:left w:val="none" w:sz="0" w:space="0" w:color="auto"/>
                <w:bottom w:val="none" w:sz="0" w:space="0" w:color="auto"/>
                <w:right w:val="none" w:sz="0" w:space="0" w:color="auto"/>
              </w:divBdr>
            </w:div>
          </w:divsChild>
        </w:div>
        <w:div w:id="1578632727">
          <w:marLeft w:val="0"/>
          <w:marRight w:val="0"/>
          <w:marTop w:val="150"/>
          <w:marBottom w:val="150"/>
          <w:divBdr>
            <w:top w:val="single" w:sz="6" w:space="0" w:color="DFE1E5"/>
            <w:left w:val="single" w:sz="6" w:space="0" w:color="DFE1E5"/>
            <w:bottom w:val="single" w:sz="6" w:space="0" w:color="DFE1E5"/>
            <w:right w:val="single" w:sz="6" w:space="0" w:color="DFE1E5"/>
          </w:divBdr>
          <w:divsChild>
            <w:div w:id="1578324410">
              <w:marLeft w:val="0"/>
              <w:marRight w:val="0"/>
              <w:marTop w:val="0"/>
              <w:marBottom w:val="0"/>
              <w:divBdr>
                <w:top w:val="none" w:sz="0" w:space="0" w:color="auto"/>
                <w:left w:val="none" w:sz="0" w:space="0" w:color="auto"/>
                <w:bottom w:val="none" w:sz="0" w:space="0" w:color="auto"/>
                <w:right w:val="none" w:sz="0" w:space="0" w:color="auto"/>
              </w:divBdr>
            </w:div>
          </w:divsChild>
        </w:div>
        <w:div w:id="602373228">
          <w:marLeft w:val="0"/>
          <w:marRight w:val="0"/>
          <w:marTop w:val="150"/>
          <w:marBottom w:val="150"/>
          <w:divBdr>
            <w:top w:val="single" w:sz="6" w:space="0" w:color="DFE1E5"/>
            <w:left w:val="single" w:sz="6" w:space="0" w:color="DFE1E5"/>
            <w:bottom w:val="single" w:sz="6" w:space="0" w:color="DFE1E5"/>
            <w:right w:val="single" w:sz="6" w:space="0" w:color="DFE1E5"/>
          </w:divBdr>
          <w:divsChild>
            <w:div w:id="560016254">
              <w:marLeft w:val="0"/>
              <w:marRight w:val="0"/>
              <w:marTop w:val="0"/>
              <w:marBottom w:val="0"/>
              <w:divBdr>
                <w:top w:val="none" w:sz="0" w:space="0" w:color="auto"/>
                <w:left w:val="none" w:sz="0" w:space="0" w:color="auto"/>
                <w:bottom w:val="none" w:sz="0" w:space="0" w:color="auto"/>
                <w:right w:val="none" w:sz="0" w:space="0" w:color="auto"/>
              </w:divBdr>
            </w:div>
          </w:divsChild>
        </w:div>
        <w:div w:id="1133405352">
          <w:marLeft w:val="0"/>
          <w:marRight w:val="0"/>
          <w:marTop w:val="150"/>
          <w:marBottom w:val="150"/>
          <w:divBdr>
            <w:top w:val="single" w:sz="6" w:space="0" w:color="DFE1E5"/>
            <w:left w:val="single" w:sz="6" w:space="0" w:color="DFE1E5"/>
            <w:bottom w:val="single" w:sz="6" w:space="0" w:color="DFE1E5"/>
            <w:right w:val="single" w:sz="6" w:space="0" w:color="DFE1E5"/>
          </w:divBdr>
          <w:divsChild>
            <w:div w:id="1572615170">
              <w:marLeft w:val="0"/>
              <w:marRight w:val="0"/>
              <w:marTop w:val="0"/>
              <w:marBottom w:val="0"/>
              <w:divBdr>
                <w:top w:val="none" w:sz="0" w:space="0" w:color="auto"/>
                <w:left w:val="none" w:sz="0" w:space="0" w:color="auto"/>
                <w:bottom w:val="none" w:sz="0" w:space="0" w:color="auto"/>
                <w:right w:val="none" w:sz="0" w:space="0" w:color="auto"/>
              </w:divBdr>
            </w:div>
          </w:divsChild>
        </w:div>
        <w:div w:id="996765462">
          <w:marLeft w:val="0"/>
          <w:marRight w:val="0"/>
          <w:marTop w:val="150"/>
          <w:marBottom w:val="150"/>
          <w:divBdr>
            <w:top w:val="single" w:sz="6" w:space="0" w:color="DFE1E5"/>
            <w:left w:val="single" w:sz="6" w:space="0" w:color="DFE1E5"/>
            <w:bottom w:val="single" w:sz="6" w:space="0" w:color="DFE1E5"/>
            <w:right w:val="single" w:sz="6" w:space="0" w:color="DFE1E5"/>
          </w:divBdr>
          <w:divsChild>
            <w:div w:id="646478501">
              <w:marLeft w:val="0"/>
              <w:marRight w:val="0"/>
              <w:marTop w:val="0"/>
              <w:marBottom w:val="0"/>
              <w:divBdr>
                <w:top w:val="none" w:sz="0" w:space="0" w:color="auto"/>
                <w:left w:val="none" w:sz="0" w:space="0" w:color="auto"/>
                <w:bottom w:val="none" w:sz="0" w:space="0" w:color="auto"/>
                <w:right w:val="none" w:sz="0" w:space="0" w:color="auto"/>
              </w:divBdr>
            </w:div>
          </w:divsChild>
        </w:div>
        <w:div w:id="1660380206">
          <w:marLeft w:val="0"/>
          <w:marRight w:val="0"/>
          <w:marTop w:val="150"/>
          <w:marBottom w:val="150"/>
          <w:divBdr>
            <w:top w:val="single" w:sz="6" w:space="0" w:color="DFE1E5"/>
            <w:left w:val="single" w:sz="6" w:space="0" w:color="DFE1E5"/>
            <w:bottom w:val="single" w:sz="6" w:space="0" w:color="DFE1E5"/>
            <w:right w:val="single" w:sz="6" w:space="0" w:color="DFE1E5"/>
          </w:divBdr>
          <w:divsChild>
            <w:div w:id="890504749">
              <w:marLeft w:val="0"/>
              <w:marRight w:val="0"/>
              <w:marTop w:val="0"/>
              <w:marBottom w:val="0"/>
              <w:divBdr>
                <w:top w:val="none" w:sz="0" w:space="0" w:color="auto"/>
                <w:left w:val="none" w:sz="0" w:space="0" w:color="auto"/>
                <w:bottom w:val="none" w:sz="0" w:space="0" w:color="auto"/>
                <w:right w:val="none" w:sz="0" w:space="0" w:color="auto"/>
              </w:divBdr>
            </w:div>
          </w:divsChild>
        </w:div>
        <w:div w:id="1712460518">
          <w:marLeft w:val="0"/>
          <w:marRight w:val="0"/>
          <w:marTop w:val="150"/>
          <w:marBottom w:val="0"/>
          <w:divBdr>
            <w:top w:val="none" w:sz="0" w:space="0" w:color="auto"/>
            <w:left w:val="none" w:sz="0" w:space="0" w:color="auto"/>
            <w:bottom w:val="none" w:sz="0" w:space="0" w:color="auto"/>
            <w:right w:val="none" w:sz="0" w:space="0" w:color="auto"/>
          </w:divBdr>
        </w:div>
        <w:div w:id="308752679">
          <w:marLeft w:val="0"/>
          <w:marRight w:val="0"/>
          <w:marTop w:val="150"/>
          <w:marBottom w:val="150"/>
          <w:divBdr>
            <w:top w:val="single" w:sz="6" w:space="0" w:color="DFE1E5"/>
            <w:left w:val="single" w:sz="6" w:space="0" w:color="DFE1E5"/>
            <w:bottom w:val="single" w:sz="6" w:space="0" w:color="DFE1E5"/>
            <w:right w:val="single" w:sz="6" w:space="0" w:color="DFE1E5"/>
          </w:divBdr>
          <w:divsChild>
            <w:div w:id="1934629233">
              <w:marLeft w:val="0"/>
              <w:marRight w:val="0"/>
              <w:marTop w:val="0"/>
              <w:marBottom w:val="0"/>
              <w:divBdr>
                <w:top w:val="none" w:sz="0" w:space="0" w:color="auto"/>
                <w:left w:val="none" w:sz="0" w:space="0" w:color="auto"/>
                <w:bottom w:val="none" w:sz="0" w:space="0" w:color="auto"/>
                <w:right w:val="none" w:sz="0" w:space="0" w:color="auto"/>
              </w:divBdr>
              <w:divsChild>
                <w:div w:id="1141657655">
                  <w:marLeft w:val="0"/>
                  <w:marRight w:val="0"/>
                  <w:marTop w:val="0"/>
                  <w:marBottom w:val="0"/>
                  <w:divBdr>
                    <w:top w:val="none" w:sz="0" w:space="0" w:color="auto"/>
                    <w:left w:val="none" w:sz="0" w:space="0" w:color="auto"/>
                    <w:bottom w:val="none" w:sz="0" w:space="0" w:color="auto"/>
                    <w:right w:val="none" w:sz="0" w:space="0" w:color="auto"/>
                  </w:divBdr>
                  <w:divsChild>
                    <w:div w:id="53630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66099027">
          <w:marLeft w:val="0"/>
          <w:marRight w:val="0"/>
          <w:marTop w:val="150"/>
          <w:marBottom w:val="150"/>
          <w:divBdr>
            <w:top w:val="single" w:sz="6" w:space="0" w:color="DFE1E5"/>
            <w:left w:val="single" w:sz="6" w:space="0" w:color="DFE1E5"/>
            <w:bottom w:val="single" w:sz="6" w:space="0" w:color="DFE1E5"/>
            <w:right w:val="single" w:sz="6" w:space="0" w:color="DFE1E5"/>
          </w:divBdr>
          <w:divsChild>
            <w:div w:id="624166045">
              <w:marLeft w:val="0"/>
              <w:marRight w:val="0"/>
              <w:marTop w:val="0"/>
              <w:marBottom w:val="0"/>
              <w:divBdr>
                <w:top w:val="none" w:sz="0" w:space="0" w:color="auto"/>
                <w:left w:val="none" w:sz="0" w:space="0" w:color="auto"/>
                <w:bottom w:val="none" w:sz="0" w:space="0" w:color="auto"/>
                <w:right w:val="none" w:sz="0" w:space="0" w:color="auto"/>
              </w:divBdr>
              <w:divsChild>
                <w:div w:id="1338193147">
                  <w:marLeft w:val="0"/>
                  <w:marRight w:val="0"/>
                  <w:marTop w:val="0"/>
                  <w:marBottom w:val="0"/>
                  <w:divBdr>
                    <w:top w:val="none" w:sz="0" w:space="0" w:color="auto"/>
                    <w:left w:val="none" w:sz="0" w:space="0" w:color="auto"/>
                    <w:bottom w:val="none" w:sz="0" w:space="0" w:color="auto"/>
                    <w:right w:val="none" w:sz="0" w:space="0" w:color="auto"/>
                  </w:divBdr>
                  <w:divsChild>
                    <w:div w:id="7769498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2483785">
      <w:bodyDiv w:val="1"/>
      <w:marLeft w:val="0"/>
      <w:marRight w:val="0"/>
      <w:marTop w:val="0"/>
      <w:marBottom w:val="0"/>
      <w:divBdr>
        <w:top w:val="none" w:sz="0" w:space="0" w:color="auto"/>
        <w:left w:val="none" w:sz="0" w:space="0" w:color="auto"/>
        <w:bottom w:val="none" w:sz="0" w:space="0" w:color="auto"/>
        <w:right w:val="none" w:sz="0" w:space="0" w:color="auto"/>
      </w:divBdr>
    </w:div>
    <w:div w:id="120271883">
      <w:bodyDiv w:val="1"/>
      <w:marLeft w:val="0"/>
      <w:marRight w:val="0"/>
      <w:marTop w:val="0"/>
      <w:marBottom w:val="0"/>
      <w:divBdr>
        <w:top w:val="none" w:sz="0" w:space="0" w:color="auto"/>
        <w:left w:val="none" w:sz="0" w:space="0" w:color="auto"/>
        <w:bottom w:val="none" w:sz="0" w:space="0" w:color="auto"/>
        <w:right w:val="none" w:sz="0" w:space="0" w:color="auto"/>
      </w:divBdr>
    </w:div>
    <w:div w:id="127208251">
      <w:bodyDiv w:val="1"/>
      <w:marLeft w:val="0"/>
      <w:marRight w:val="0"/>
      <w:marTop w:val="0"/>
      <w:marBottom w:val="0"/>
      <w:divBdr>
        <w:top w:val="none" w:sz="0" w:space="0" w:color="auto"/>
        <w:left w:val="none" w:sz="0" w:space="0" w:color="auto"/>
        <w:bottom w:val="none" w:sz="0" w:space="0" w:color="auto"/>
        <w:right w:val="none" w:sz="0" w:space="0" w:color="auto"/>
      </w:divBdr>
    </w:div>
    <w:div w:id="154416018">
      <w:bodyDiv w:val="1"/>
      <w:marLeft w:val="0"/>
      <w:marRight w:val="0"/>
      <w:marTop w:val="0"/>
      <w:marBottom w:val="0"/>
      <w:divBdr>
        <w:top w:val="none" w:sz="0" w:space="0" w:color="auto"/>
        <w:left w:val="none" w:sz="0" w:space="0" w:color="auto"/>
        <w:bottom w:val="none" w:sz="0" w:space="0" w:color="auto"/>
        <w:right w:val="none" w:sz="0" w:space="0" w:color="auto"/>
      </w:divBdr>
    </w:div>
    <w:div w:id="546727123">
      <w:bodyDiv w:val="1"/>
      <w:marLeft w:val="0"/>
      <w:marRight w:val="0"/>
      <w:marTop w:val="0"/>
      <w:marBottom w:val="0"/>
      <w:divBdr>
        <w:top w:val="none" w:sz="0" w:space="0" w:color="auto"/>
        <w:left w:val="none" w:sz="0" w:space="0" w:color="auto"/>
        <w:bottom w:val="none" w:sz="0" w:space="0" w:color="auto"/>
        <w:right w:val="none" w:sz="0" w:space="0" w:color="auto"/>
      </w:divBdr>
    </w:div>
    <w:div w:id="553663322">
      <w:bodyDiv w:val="1"/>
      <w:marLeft w:val="0"/>
      <w:marRight w:val="0"/>
      <w:marTop w:val="0"/>
      <w:marBottom w:val="0"/>
      <w:divBdr>
        <w:top w:val="none" w:sz="0" w:space="0" w:color="auto"/>
        <w:left w:val="none" w:sz="0" w:space="0" w:color="auto"/>
        <w:bottom w:val="none" w:sz="0" w:space="0" w:color="auto"/>
        <w:right w:val="none" w:sz="0" w:space="0" w:color="auto"/>
      </w:divBdr>
    </w:div>
    <w:div w:id="599266028">
      <w:bodyDiv w:val="1"/>
      <w:marLeft w:val="0"/>
      <w:marRight w:val="0"/>
      <w:marTop w:val="0"/>
      <w:marBottom w:val="0"/>
      <w:divBdr>
        <w:top w:val="none" w:sz="0" w:space="0" w:color="auto"/>
        <w:left w:val="none" w:sz="0" w:space="0" w:color="auto"/>
        <w:bottom w:val="none" w:sz="0" w:space="0" w:color="auto"/>
        <w:right w:val="none" w:sz="0" w:space="0" w:color="auto"/>
      </w:divBdr>
      <w:divsChild>
        <w:div w:id="517740056">
          <w:marLeft w:val="0"/>
          <w:marRight w:val="0"/>
          <w:marTop w:val="150"/>
          <w:marBottom w:val="240"/>
          <w:divBdr>
            <w:top w:val="single" w:sz="6" w:space="8" w:color="FFEAAE"/>
            <w:left w:val="single" w:sz="6" w:space="27" w:color="FFEAAE"/>
            <w:bottom w:val="single" w:sz="6" w:space="8" w:color="FFEAAE"/>
            <w:right w:val="single" w:sz="6" w:space="8" w:color="FFEAAE"/>
          </w:divBdr>
          <w:divsChild>
            <w:div w:id="13104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18763">
      <w:bodyDiv w:val="1"/>
      <w:marLeft w:val="0"/>
      <w:marRight w:val="0"/>
      <w:marTop w:val="0"/>
      <w:marBottom w:val="0"/>
      <w:divBdr>
        <w:top w:val="none" w:sz="0" w:space="0" w:color="auto"/>
        <w:left w:val="none" w:sz="0" w:space="0" w:color="auto"/>
        <w:bottom w:val="none" w:sz="0" w:space="0" w:color="auto"/>
        <w:right w:val="none" w:sz="0" w:space="0" w:color="auto"/>
      </w:divBdr>
    </w:div>
    <w:div w:id="632832552">
      <w:bodyDiv w:val="1"/>
      <w:marLeft w:val="0"/>
      <w:marRight w:val="0"/>
      <w:marTop w:val="0"/>
      <w:marBottom w:val="0"/>
      <w:divBdr>
        <w:top w:val="none" w:sz="0" w:space="0" w:color="auto"/>
        <w:left w:val="none" w:sz="0" w:space="0" w:color="auto"/>
        <w:bottom w:val="none" w:sz="0" w:space="0" w:color="auto"/>
        <w:right w:val="none" w:sz="0" w:space="0" w:color="auto"/>
      </w:divBdr>
    </w:div>
    <w:div w:id="760686487">
      <w:bodyDiv w:val="1"/>
      <w:marLeft w:val="0"/>
      <w:marRight w:val="0"/>
      <w:marTop w:val="0"/>
      <w:marBottom w:val="0"/>
      <w:divBdr>
        <w:top w:val="none" w:sz="0" w:space="0" w:color="auto"/>
        <w:left w:val="none" w:sz="0" w:space="0" w:color="auto"/>
        <w:bottom w:val="none" w:sz="0" w:space="0" w:color="auto"/>
        <w:right w:val="none" w:sz="0" w:space="0" w:color="auto"/>
      </w:divBdr>
    </w:div>
    <w:div w:id="783039288">
      <w:bodyDiv w:val="1"/>
      <w:marLeft w:val="0"/>
      <w:marRight w:val="0"/>
      <w:marTop w:val="0"/>
      <w:marBottom w:val="0"/>
      <w:divBdr>
        <w:top w:val="none" w:sz="0" w:space="0" w:color="auto"/>
        <w:left w:val="none" w:sz="0" w:space="0" w:color="auto"/>
        <w:bottom w:val="none" w:sz="0" w:space="0" w:color="auto"/>
        <w:right w:val="none" w:sz="0" w:space="0" w:color="auto"/>
      </w:divBdr>
    </w:div>
    <w:div w:id="1180317820">
      <w:bodyDiv w:val="1"/>
      <w:marLeft w:val="0"/>
      <w:marRight w:val="0"/>
      <w:marTop w:val="0"/>
      <w:marBottom w:val="0"/>
      <w:divBdr>
        <w:top w:val="none" w:sz="0" w:space="0" w:color="auto"/>
        <w:left w:val="none" w:sz="0" w:space="0" w:color="auto"/>
        <w:bottom w:val="none" w:sz="0" w:space="0" w:color="auto"/>
        <w:right w:val="none" w:sz="0" w:space="0" w:color="auto"/>
      </w:divBdr>
      <w:divsChild>
        <w:div w:id="1328627488">
          <w:marLeft w:val="0"/>
          <w:marRight w:val="0"/>
          <w:marTop w:val="150"/>
          <w:marBottom w:val="240"/>
          <w:divBdr>
            <w:top w:val="single" w:sz="6" w:space="8" w:color="FFEAAE"/>
            <w:left w:val="single" w:sz="6" w:space="27" w:color="FFEAAE"/>
            <w:bottom w:val="single" w:sz="6" w:space="8" w:color="FFEAAE"/>
            <w:right w:val="single" w:sz="6" w:space="8" w:color="FFEAAE"/>
          </w:divBdr>
          <w:divsChild>
            <w:div w:id="82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1579">
      <w:bodyDiv w:val="1"/>
      <w:marLeft w:val="0"/>
      <w:marRight w:val="0"/>
      <w:marTop w:val="0"/>
      <w:marBottom w:val="0"/>
      <w:divBdr>
        <w:top w:val="none" w:sz="0" w:space="0" w:color="auto"/>
        <w:left w:val="none" w:sz="0" w:space="0" w:color="auto"/>
        <w:bottom w:val="none" w:sz="0" w:space="0" w:color="auto"/>
        <w:right w:val="none" w:sz="0" w:space="0" w:color="auto"/>
      </w:divBdr>
    </w:div>
    <w:div w:id="1625038309">
      <w:bodyDiv w:val="1"/>
      <w:marLeft w:val="0"/>
      <w:marRight w:val="0"/>
      <w:marTop w:val="0"/>
      <w:marBottom w:val="0"/>
      <w:divBdr>
        <w:top w:val="none" w:sz="0" w:space="0" w:color="auto"/>
        <w:left w:val="none" w:sz="0" w:space="0" w:color="auto"/>
        <w:bottom w:val="none" w:sz="0" w:space="0" w:color="auto"/>
        <w:right w:val="none" w:sz="0" w:space="0" w:color="auto"/>
      </w:divBdr>
    </w:div>
    <w:div w:id="1654217657">
      <w:bodyDiv w:val="1"/>
      <w:marLeft w:val="0"/>
      <w:marRight w:val="0"/>
      <w:marTop w:val="0"/>
      <w:marBottom w:val="0"/>
      <w:divBdr>
        <w:top w:val="none" w:sz="0" w:space="0" w:color="auto"/>
        <w:left w:val="none" w:sz="0" w:space="0" w:color="auto"/>
        <w:bottom w:val="none" w:sz="0" w:space="0" w:color="auto"/>
        <w:right w:val="none" w:sz="0" w:space="0" w:color="auto"/>
      </w:divBdr>
    </w:div>
    <w:div w:id="1844321707">
      <w:bodyDiv w:val="1"/>
      <w:marLeft w:val="0"/>
      <w:marRight w:val="0"/>
      <w:marTop w:val="0"/>
      <w:marBottom w:val="0"/>
      <w:divBdr>
        <w:top w:val="none" w:sz="0" w:space="0" w:color="auto"/>
        <w:left w:val="none" w:sz="0" w:space="0" w:color="auto"/>
        <w:bottom w:val="none" w:sz="0" w:space="0" w:color="auto"/>
        <w:right w:val="none" w:sz="0" w:space="0" w:color="auto"/>
      </w:divBdr>
    </w:div>
    <w:div w:id="21332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enodo.org/records/1364286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QUARIUS">
      <a:dk1>
        <a:srgbClr val="040336"/>
      </a:dk1>
      <a:lt1>
        <a:srgbClr val="FFFFFF"/>
      </a:lt1>
      <a:dk2>
        <a:srgbClr val="243363"/>
      </a:dk2>
      <a:lt2>
        <a:srgbClr val="FFFFFF"/>
      </a:lt2>
      <a:accent1>
        <a:srgbClr val="3F83BF"/>
      </a:accent1>
      <a:accent2>
        <a:srgbClr val="56A4CC"/>
      </a:accent2>
      <a:accent3>
        <a:srgbClr val="6CC5D9"/>
      </a:accent3>
      <a:accent4>
        <a:srgbClr val="24A65C"/>
      </a:accent4>
      <a:accent5>
        <a:srgbClr val="FFFFFF"/>
      </a:accent5>
      <a:accent6>
        <a:srgbClr val="FFFFFF"/>
      </a:accent6>
      <a:hlink>
        <a:srgbClr val="243363"/>
      </a:hlink>
      <a:folHlink>
        <a:srgbClr val="3F83BF"/>
      </a:folHlink>
    </a:clrScheme>
    <a:fontScheme name="Custom 4">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6DB2B-BDD5-49BC-8FE0-B4989685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1660</Words>
  <Characters>9530</Characters>
  <Application>Microsoft Office Word</Application>
  <DocSecurity>0</DocSecurity>
  <Lines>476</Lines>
  <Paragraphs>260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Torrez</dc:creator>
  <cp:keywords/>
  <dc:description/>
  <cp:lastModifiedBy>Anneli.Strobel</cp:lastModifiedBy>
  <cp:revision>2</cp:revision>
  <cp:lastPrinted>2023-01-25T12:26:00Z</cp:lastPrinted>
  <dcterms:created xsi:type="dcterms:W3CDTF">2024-09-09T07:21:00Z</dcterms:created>
  <dcterms:modified xsi:type="dcterms:W3CDTF">2024-09-09T07:21:00Z</dcterms:modified>
</cp:coreProperties>
</file>